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6FC3" w:rsidRDefault="00466FC3">
      <w:pPr>
        <w:pStyle w:val="Inhaltsverzeichnisberschrift"/>
        <w:rPr>
          <w:rFonts w:asciiTheme="majorHAnsi" w:eastAsia="Times New Roman" w:hAnsiTheme="majorHAnsi"/>
          <w:bCs w:val="0"/>
          <w:color w:val="auto"/>
          <w:sz w:val="22"/>
          <w:szCs w:val="22"/>
          <w:lang w:eastAsia="en-US"/>
        </w:rPr>
      </w:pPr>
      <w:bookmarkStart w:id="0" w:name="_GoBack"/>
      <w:bookmarkEnd w:id="0"/>
      <w:r>
        <w:rPr>
          <w:rFonts w:asciiTheme="majorHAnsi" w:eastAsia="Times New Roman" w:hAnsiTheme="majorHAnsi"/>
          <w:b/>
          <w:bCs w:val="0"/>
          <w:color w:val="auto"/>
          <w:sz w:val="22"/>
          <w:szCs w:val="22"/>
          <w:lang w:eastAsia="en-US"/>
        </w:rPr>
        <w:t>Screenreader-</w:t>
      </w:r>
      <w:r w:rsidRPr="00466FC3">
        <w:rPr>
          <w:rFonts w:asciiTheme="majorHAnsi" w:eastAsia="Times New Roman" w:hAnsiTheme="majorHAnsi"/>
          <w:b/>
          <w:bCs w:val="0"/>
          <w:color w:val="auto"/>
          <w:sz w:val="22"/>
          <w:szCs w:val="22"/>
          <w:lang w:eastAsia="en-US"/>
        </w:rPr>
        <w:t>Hinweis:</w:t>
      </w:r>
      <w:r>
        <w:rPr>
          <w:rFonts w:asciiTheme="majorHAnsi" w:eastAsia="Times New Roman" w:hAnsiTheme="majorHAnsi"/>
          <w:bCs w:val="0"/>
          <w:color w:val="auto"/>
          <w:sz w:val="22"/>
          <w:szCs w:val="22"/>
          <w:lang w:eastAsia="en-US"/>
        </w:rPr>
        <w:t xml:space="preserve"> Die Navigation über das Inhaltsverzeichnis</w:t>
      </w:r>
      <w:r w:rsidR="007070F2">
        <w:rPr>
          <w:rFonts w:asciiTheme="majorHAnsi" w:eastAsia="Times New Roman" w:hAnsiTheme="majorHAnsi"/>
          <w:bCs w:val="0"/>
          <w:color w:val="auto"/>
          <w:sz w:val="22"/>
          <w:szCs w:val="22"/>
          <w:lang w:eastAsia="en-US"/>
        </w:rPr>
        <w:t xml:space="preserve"> kann, je nach verwendeter Software,</w:t>
      </w:r>
      <w:r>
        <w:rPr>
          <w:rFonts w:asciiTheme="majorHAnsi" w:eastAsia="Times New Roman" w:hAnsiTheme="majorHAnsi"/>
          <w:bCs w:val="0"/>
          <w:color w:val="auto"/>
          <w:sz w:val="22"/>
          <w:szCs w:val="22"/>
          <w:lang w:eastAsia="en-US"/>
        </w:rPr>
        <w:t xml:space="preserve"> </w:t>
      </w:r>
      <w:r w:rsidR="007070F2">
        <w:rPr>
          <w:rFonts w:asciiTheme="majorHAnsi" w:eastAsia="Times New Roman" w:hAnsiTheme="majorHAnsi"/>
          <w:bCs w:val="0"/>
          <w:color w:val="auto"/>
          <w:sz w:val="22"/>
          <w:szCs w:val="22"/>
          <w:lang w:eastAsia="en-US"/>
        </w:rPr>
        <w:t xml:space="preserve">schwierig sein. </w:t>
      </w:r>
      <w:r>
        <w:rPr>
          <w:rFonts w:asciiTheme="majorHAnsi" w:eastAsia="Times New Roman" w:hAnsiTheme="majorHAnsi"/>
          <w:bCs w:val="0"/>
          <w:color w:val="auto"/>
          <w:sz w:val="22"/>
          <w:szCs w:val="22"/>
          <w:lang w:eastAsia="en-US"/>
        </w:rPr>
        <w:t>Nutzen Sie dann die Navigation über die Überschriften.</w:t>
      </w:r>
    </w:p>
    <w:sdt>
      <w:sdtPr>
        <w:rPr>
          <w:rFonts w:asciiTheme="majorHAnsi" w:eastAsia="Times New Roman" w:hAnsiTheme="majorHAnsi"/>
          <w:bCs w:val="0"/>
          <w:color w:val="auto"/>
          <w:sz w:val="22"/>
          <w:szCs w:val="22"/>
          <w:lang w:eastAsia="en-US"/>
        </w:rPr>
        <w:id w:val="-2111969731"/>
        <w:docPartObj>
          <w:docPartGallery w:val="Table of Contents"/>
        </w:docPartObj>
      </w:sdtPr>
      <w:sdtEndPr>
        <w:rPr>
          <w:b/>
        </w:rPr>
      </w:sdtEndPr>
      <w:sdtContent>
        <w:p w:rsidR="00D3742D" w:rsidRDefault="00D3742D">
          <w:pPr>
            <w:pStyle w:val="Inhaltsverzeichnisberschrift"/>
          </w:pPr>
          <w:r>
            <w:t>Inhaltsverzeichnis</w:t>
          </w:r>
        </w:p>
        <w:p w:rsidR="0025623A" w:rsidRDefault="00AA6B2B">
          <w:pPr>
            <w:pStyle w:val="Verzeichnis1"/>
            <w:tabs>
              <w:tab w:val="right" w:leader="dot" w:pos="9062"/>
            </w:tabs>
            <w:rPr>
              <w:rFonts w:asciiTheme="minorHAnsi" w:eastAsiaTheme="minorEastAsia" w:hAnsiTheme="minorHAnsi" w:cstheme="minorBidi"/>
              <w:noProof/>
              <w:lang w:eastAsia="de-DE"/>
            </w:rPr>
          </w:pPr>
          <w:r>
            <w:fldChar w:fldCharType="begin"/>
          </w:r>
          <w:r>
            <w:instrText xml:space="preserve"> TOC \o "1-1" \h \z \u </w:instrText>
          </w:r>
          <w:r>
            <w:fldChar w:fldCharType="separate"/>
          </w:r>
          <w:hyperlink w:anchor="_Toc230066538" w:history="1">
            <w:r w:rsidR="0025623A" w:rsidRPr="00EE1D30">
              <w:rPr>
                <w:rStyle w:val="Hyperlink"/>
                <w:noProof/>
              </w:rPr>
              <w:t>Sparen auf Kosten der Versicherten</w:t>
            </w:r>
            <w:r w:rsidR="0025623A">
              <w:rPr>
                <w:noProof/>
                <w:webHidden/>
              </w:rPr>
              <w:tab/>
            </w:r>
            <w:r w:rsidR="0025623A">
              <w:rPr>
                <w:noProof/>
                <w:webHidden/>
              </w:rPr>
              <w:fldChar w:fldCharType="begin"/>
            </w:r>
            <w:r w:rsidR="0025623A">
              <w:rPr>
                <w:noProof/>
                <w:webHidden/>
              </w:rPr>
              <w:instrText xml:space="preserve"> PAGEREF _Toc230066538 \h </w:instrText>
            </w:r>
            <w:r w:rsidR="0025623A">
              <w:rPr>
                <w:noProof/>
                <w:webHidden/>
              </w:rPr>
            </w:r>
            <w:r w:rsidR="0025623A">
              <w:rPr>
                <w:noProof/>
                <w:webHidden/>
              </w:rPr>
              <w:fldChar w:fldCharType="separate"/>
            </w:r>
            <w:r w:rsidR="0025623A">
              <w:rPr>
                <w:noProof/>
                <w:webHidden/>
              </w:rPr>
              <w:t>2</w:t>
            </w:r>
            <w:r w:rsidR="0025623A">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39" w:history="1">
            <w:r w:rsidRPr="00EE1D30">
              <w:rPr>
                <w:rStyle w:val="Hyperlink"/>
                <w:noProof/>
              </w:rPr>
              <w:t>Erhebliche Schwächen im Gesetzentwurf</w:t>
            </w:r>
            <w:r>
              <w:rPr>
                <w:noProof/>
                <w:webHidden/>
              </w:rPr>
              <w:tab/>
            </w:r>
            <w:r>
              <w:rPr>
                <w:noProof/>
                <w:webHidden/>
              </w:rPr>
              <w:fldChar w:fldCharType="begin"/>
            </w:r>
            <w:r>
              <w:rPr>
                <w:noProof/>
                <w:webHidden/>
              </w:rPr>
              <w:instrText xml:space="preserve"> PAGEREF _Toc230066539 \h </w:instrText>
            </w:r>
            <w:r>
              <w:rPr>
                <w:noProof/>
                <w:webHidden/>
              </w:rPr>
            </w:r>
            <w:r>
              <w:rPr>
                <w:noProof/>
                <w:webHidden/>
              </w:rPr>
              <w:fldChar w:fldCharType="separate"/>
            </w:r>
            <w:r>
              <w:rPr>
                <w:noProof/>
                <w:webHidden/>
              </w:rPr>
              <w:t>3</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40" w:history="1">
            <w:r w:rsidRPr="00EE1D30">
              <w:rPr>
                <w:rStyle w:val="Hyperlink"/>
                <w:noProof/>
              </w:rPr>
              <w:t>Großer Wunsch nach sozialer Gerechtigkeit</w:t>
            </w:r>
            <w:r>
              <w:rPr>
                <w:noProof/>
                <w:webHidden/>
              </w:rPr>
              <w:tab/>
            </w:r>
            <w:r>
              <w:rPr>
                <w:noProof/>
                <w:webHidden/>
              </w:rPr>
              <w:fldChar w:fldCharType="begin"/>
            </w:r>
            <w:r>
              <w:rPr>
                <w:noProof/>
                <w:webHidden/>
              </w:rPr>
              <w:instrText xml:space="preserve"> PAGEREF _Toc230066540 \h </w:instrText>
            </w:r>
            <w:r>
              <w:rPr>
                <w:noProof/>
                <w:webHidden/>
              </w:rPr>
            </w:r>
            <w:r>
              <w:rPr>
                <w:noProof/>
                <w:webHidden/>
              </w:rPr>
              <w:fldChar w:fldCharType="separate"/>
            </w:r>
            <w:r>
              <w:rPr>
                <w:noProof/>
                <w:webHidden/>
              </w:rPr>
              <w:t>4</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41" w:history="1">
            <w:r w:rsidRPr="00EE1D30">
              <w:rPr>
                <w:rStyle w:val="Hyperlink"/>
                <w:noProof/>
              </w:rPr>
              <w:t>Gemeinsam engagiert</w:t>
            </w:r>
            <w:r>
              <w:rPr>
                <w:noProof/>
                <w:webHidden/>
              </w:rPr>
              <w:tab/>
            </w:r>
            <w:r>
              <w:rPr>
                <w:noProof/>
                <w:webHidden/>
              </w:rPr>
              <w:fldChar w:fldCharType="begin"/>
            </w:r>
            <w:r>
              <w:rPr>
                <w:noProof/>
                <w:webHidden/>
              </w:rPr>
              <w:instrText xml:space="preserve"> PAGEREF _Toc230066541 \h </w:instrText>
            </w:r>
            <w:r>
              <w:rPr>
                <w:noProof/>
                <w:webHidden/>
              </w:rPr>
            </w:r>
            <w:r>
              <w:rPr>
                <w:noProof/>
                <w:webHidden/>
              </w:rPr>
              <w:fldChar w:fldCharType="separate"/>
            </w:r>
            <w:r>
              <w:rPr>
                <w:noProof/>
                <w:webHidden/>
              </w:rPr>
              <w:t>5</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42" w:history="1">
            <w:r w:rsidRPr="00EE1D30">
              <w:rPr>
                <w:rStyle w:val="Hyperlink"/>
                <w:noProof/>
              </w:rPr>
              <w:t>Rente stärken statt kürzen</w:t>
            </w:r>
            <w:r>
              <w:rPr>
                <w:noProof/>
                <w:webHidden/>
              </w:rPr>
              <w:tab/>
            </w:r>
            <w:r>
              <w:rPr>
                <w:noProof/>
                <w:webHidden/>
              </w:rPr>
              <w:fldChar w:fldCharType="begin"/>
            </w:r>
            <w:r>
              <w:rPr>
                <w:noProof/>
                <w:webHidden/>
              </w:rPr>
              <w:instrText xml:space="preserve"> PAGEREF _Toc230066542 \h </w:instrText>
            </w:r>
            <w:r>
              <w:rPr>
                <w:noProof/>
                <w:webHidden/>
              </w:rPr>
            </w:r>
            <w:r>
              <w:rPr>
                <w:noProof/>
                <w:webHidden/>
              </w:rPr>
              <w:fldChar w:fldCharType="separate"/>
            </w:r>
            <w:r>
              <w:rPr>
                <w:noProof/>
                <w:webHidden/>
              </w:rPr>
              <w:t>6</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43" w:history="1">
            <w:r w:rsidRPr="00EE1D30">
              <w:rPr>
                <w:rStyle w:val="Hyperlink"/>
                <w:noProof/>
              </w:rPr>
              <w:t>Halb krank bei der Arbeit</w:t>
            </w:r>
            <w:r>
              <w:rPr>
                <w:noProof/>
                <w:webHidden/>
              </w:rPr>
              <w:tab/>
            </w:r>
            <w:r>
              <w:rPr>
                <w:noProof/>
                <w:webHidden/>
              </w:rPr>
              <w:fldChar w:fldCharType="begin"/>
            </w:r>
            <w:r>
              <w:rPr>
                <w:noProof/>
                <w:webHidden/>
              </w:rPr>
              <w:instrText xml:space="preserve"> PAGEREF _Toc230066543 \h </w:instrText>
            </w:r>
            <w:r>
              <w:rPr>
                <w:noProof/>
                <w:webHidden/>
              </w:rPr>
            </w:r>
            <w:r>
              <w:rPr>
                <w:noProof/>
                <w:webHidden/>
              </w:rPr>
              <w:fldChar w:fldCharType="separate"/>
            </w:r>
            <w:r>
              <w:rPr>
                <w:noProof/>
                <w:webHidden/>
              </w:rPr>
              <w:t>7</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44" w:history="1">
            <w:r w:rsidRPr="00EE1D30">
              <w:rPr>
                <w:rStyle w:val="Hyperlink"/>
                <w:noProof/>
              </w:rPr>
              <w:t>Wandel braucht sozialen Ausgleich</w:t>
            </w:r>
            <w:r>
              <w:rPr>
                <w:noProof/>
                <w:webHidden/>
              </w:rPr>
              <w:tab/>
            </w:r>
            <w:r>
              <w:rPr>
                <w:noProof/>
                <w:webHidden/>
              </w:rPr>
              <w:fldChar w:fldCharType="begin"/>
            </w:r>
            <w:r>
              <w:rPr>
                <w:noProof/>
                <w:webHidden/>
              </w:rPr>
              <w:instrText xml:space="preserve"> PAGEREF _Toc230066544 \h </w:instrText>
            </w:r>
            <w:r>
              <w:rPr>
                <w:noProof/>
                <w:webHidden/>
              </w:rPr>
            </w:r>
            <w:r>
              <w:rPr>
                <w:noProof/>
                <w:webHidden/>
              </w:rPr>
              <w:fldChar w:fldCharType="separate"/>
            </w:r>
            <w:r>
              <w:rPr>
                <w:noProof/>
                <w:webHidden/>
              </w:rPr>
              <w:t>8</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45" w:history="1">
            <w:r w:rsidRPr="00EE1D30">
              <w:rPr>
                <w:rStyle w:val="Hyperlink"/>
                <w:noProof/>
              </w:rPr>
              <w:t>Mehr Hitze, mehr Risiken, mehr Verantwortung</w:t>
            </w:r>
            <w:r>
              <w:rPr>
                <w:noProof/>
                <w:webHidden/>
              </w:rPr>
              <w:tab/>
            </w:r>
            <w:r>
              <w:rPr>
                <w:noProof/>
                <w:webHidden/>
              </w:rPr>
              <w:fldChar w:fldCharType="begin"/>
            </w:r>
            <w:r>
              <w:rPr>
                <w:noProof/>
                <w:webHidden/>
              </w:rPr>
              <w:instrText xml:space="preserve"> PAGEREF _Toc230066545 \h </w:instrText>
            </w:r>
            <w:r>
              <w:rPr>
                <w:noProof/>
                <w:webHidden/>
              </w:rPr>
            </w:r>
            <w:r>
              <w:rPr>
                <w:noProof/>
                <w:webHidden/>
              </w:rPr>
              <w:fldChar w:fldCharType="separate"/>
            </w:r>
            <w:r>
              <w:rPr>
                <w:noProof/>
                <w:webHidden/>
              </w:rPr>
              <w:t>10</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46" w:history="1">
            <w:r w:rsidRPr="00EE1D30">
              <w:rPr>
                <w:rStyle w:val="Hyperlink"/>
                <w:noProof/>
              </w:rPr>
              <w:t>Gesellschaftliche Teilhabe in Gefahr</w:t>
            </w:r>
            <w:r>
              <w:rPr>
                <w:noProof/>
                <w:webHidden/>
              </w:rPr>
              <w:tab/>
            </w:r>
            <w:r>
              <w:rPr>
                <w:noProof/>
                <w:webHidden/>
              </w:rPr>
              <w:fldChar w:fldCharType="begin"/>
            </w:r>
            <w:r>
              <w:rPr>
                <w:noProof/>
                <w:webHidden/>
              </w:rPr>
              <w:instrText xml:space="preserve"> PAGEREF _Toc230066546 \h </w:instrText>
            </w:r>
            <w:r>
              <w:rPr>
                <w:noProof/>
                <w:webHidden/>
              </w:rPr>
            </w:r>
            <w:r>
              <w:rPr>
                <w:noProof/>
                <w:webHidden/>
              </w:rPr>
              <w:fldChar w:fldCharType="separate"/>
            </w:r>
            <w:r>
              <w:rPr>
                <w:noProof/>
                <w:webHidden/>
              </w:rPr>
              <w:t>11</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47" w:history="1">
            <w:r w:rsidRPr="00EE1D30">
              <w:rPr>
                <w:rStyle w:val="Hyperlink"/>
                <w:noProof/>
              </w:rPr>
              <w:t>Großer Rückhalt für Demokratie</w:t>
            </w:r>
            <w:r>
              <w:rPr>
                <w:noProof/>
                <w:webHidden/>
              </w:rPr>
              <w:tab/>
            </w:r>
            <w:r>
              <w:rPr>
                <w:noProof/>
                <w:webHidden/>
              </w:rPr>
              <w:fldChar w:fldCharType="begin"/>
            </w:r>
            <w:r>
              <w:rPr>
                <w:noProof/>
                <w:webHidden/>
              </w:rPr>
              <w:instrText xml:space="preserve"> PAGEREF _Toc230066547 \h </w:instrText>
            </w:r>
            <w:r>
              <w:rPr>
                <w:noProof/>
                <w:webHidden/>
              </w:rPr>
            </w:r>
            <w:r>
              <w:rPr>
                <w:noProof/>
                <w:webHidden/>
              </w:rPr>
              <w:fldChar w:fldCharType="separate"/>
            </w:r>
            <w:r>
              <w:rPr>
                <w:noProof/>
                <w:webHidden/>
              </w:rPr>
              <w:t>12</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48" w:history="1">
            <w:r w:rsidRPr="00EE1D30">
              <w:rPr>
                <w:rStyle w:val="Hyperlink"/>
                <w:noProof/>
              </w:rPr>
              <w:t>Löhne sollen gerechter werden</w:t>
            </w:r>
            <w:r>
              <w:rPr>
                <w:noProof/>
                <w:webHidden/>
              </w:rPr>
              <w:tab/>
            </w:r>
            <w:r>
              <w:rPr>
                <w:noProof/>
                <w:webHidden/>
              </w:rPr>
              <w:fldChar w:fldCharType="begin"/>
            </w:r>
            <w:r>
              <w:rPr>
                <w:noProof/>
                <w:webHidden/>
              </w:rPr>
              <w:instrText xml:space="preserve"> PAGEREF _Toc230066548 \h </w:instrText>
            </w:r>
            <w:r>
              <w:rPr>
                <w:noProof/>
                <w:webHidden/>
              </w:rPr>
            </w:r>
            <w:r>
              <w:rPr>
                <w:noProof/>
                <w:webHidden/>
              </w:rPr>
              <w:fldChar w:fldCharType="separate"/>
            </w:r>
            <w:r>
              <w:rPr>
                <w:noProof/>
                <w:webHidden/>
              </w:rPr>
              <w:t>13</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49" w:history="1">
            <w:r w:rsidRPr="00EE1D30">
              <w:rPr>
                <w:rStyle w:val="Hyperlink"/>
                <w:noProof/>
              </w:rPr>
              <w:t>Nach Aberkennung erkämpft VdK höheren Pflegegrad</w:t>
            </w:r>
            <w:r>
              <w:rPr>
                <w:noProof/>
                <w:webHidden/>
              </w:rPr>
              <w:tab/>
            </w:r>
            <w:r>
              <w:rPr>
                <w:noProof/>
                <w:webHidden/>
              </w:rPr>
              <w:fldChar w:fldCharType="begin"/>
            </w:r>
            <w:r>
              <w:rPr>
                <w:noProof/>
                <w:webHidden/>
              </w:rPr>
              <w:instrText xml:space="preserve"> PAGEREF _Toc230066549 \h </w:instrText>
            </w:r>
            <w:r>
              <w:rPr>
                <w:noProof/>
                <w:webHidden/>
              </w:rPr>
            </w:r>
            <w:r>
              <w:rPr>
                <w:noProof/>
                <w:webHidden/>
              </w:rPr>
              <w:fldChar w:fldCharType="separate"/>
            </w:r>
            <w:r>
              <w:rPr>
                <w:noProof/>
                <w:webHidden/>
              </w:rPr>
              <w:t>14</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50" w:history="1">
            <w:r w:rsidRPr="00EE1D30">
              <w:rPr>
                <w:rStyle w:val="Hyperlink"/>
                <w:noProof/>
              </w:rPr>
              <w:t>Zweimal abgelehnt, dann bewilligt</w:t>
            </w:r>
            <w:r>
              <w:rPr>
                <w:noProof/>
                <w:webHidden/>
              </w:rPr>
              <w:tab/>
            </w:r>
            <w:r>
              <w:rPr>
                <w:noProof/>
                <w:webHidden/>
              </w:rPr>
              <w:fldChar w:fldCharType="begin"/>
            </w:r>
            <w:r>
              <w:rPr>
                <w:noProof/>
                <w:webHidden/>
              </w:rPr>
              <w:instrText xml:space="preserve"> PAGEREF _Toc230066550 \h </w:instrText>
            </w:r>
            <w:r>
              <w:rPr>
                <w:noProof/>
                <w:webHidden/>
              </w:rPr>
            </w:r>
            <w:r>
              <w:rPr>
                <w:noProof/>
                <w:webHidden/>
              </w:rPr>
              <w:fldChar w:fldCharType="separate"/>
            </w:r>
            <w:r>
              <w:rPr>
                <w:noProof/>
                <w:webHidden/>
              </w:rPr>
              <w:t>15</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51" w:history="1">
            <w:r w:rsidRPr="00EE1D30">
              <w:rPr>
                <w:rStyle w:val="Hyperlink"/>
                <w:noProof/>
              </w:rPr>
              <w:t>Mehrheit lehnt Leistungskürzungen ab</w:t>
            </w:r>
            <w:r>
              <w:rPr>
                <w:noProof/>
                <w:webHidden/>
              </w:rPr>
              <w:tab/>
            </w:r>
            <w:r>
              <w:rPr>
                <w:noProof/>
                <w:webHidden/>
              </w:rPr>
              <w:fldChar w:fldCharType="begin"/>
            </w:r>
            <w:r>
              <w:rPr>
                <w:noProof/>
                <w:webHidden/>
              </w:rPr>
              <w:instrText xml:space="preserve"> PAGEREF _Toc230066551 \h </w:instrText>
            </w:r>
            <w:r>
              <w:rPr>
                <w:noProof/>
                <w:webHidden/>
              </w:rPr>
            </w:r>
            <w:r>
              <w:rPr>
                <w:noProof/>
                <w:webHidden/>
              </w:rPr>
              <w:fldChar w:fldCharType="separate"/>
            </w:r>
            <w:r>
              <w:rPr>
                <w:noProof/>
                <w:webHidden/>
              </w:rPr>
              <w:t>17</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52" w:history="1">
            <w:r w:rsidRPr="00EE1D30">
              <w:rPr>
                <w:rStyle w:val="Hyperlink"/>
                <w:noProof/>
              </w:rPr>
              <w:t>Pflege nachhaltig sichern</w:t>
            </w:r>
            <w:r>
              <w:rPr>
                <w:noProof/>
                <w:webHidden/>
              </w:rPr>
              <w:tab/>
            </w:r>
            <w:r>
              <w:rPr>
                <w:noProof/>
                <w:webHidden/>
              </w:rPr>
              <w:fldChar w:fldCharType="begin"/>
            </w:r>
            <w:r>
              <w:rPr>
                <w:noProof/>
                <w:webHidden/>
              </w:rPr>
              <w:instrText xml:space="preserve"> PAGEREF _Toc230066552 \h </w:instrText>
            </w:r>
            <w:r>
              <w:rPr>
                <w:noProof/>
                <w:webHidden/>
              </w:rPr>
            </w:r>
            <w:r>
              <w:rPr>
                <w:noProof/>
                <w:webHidden/>
              </w:rPr>
              <w:fldChar w:fldCharType="separate"/>
            </w:r>
            <w:r>
              <w:rPr>
                <w:noProof/>
                <w:webHidden/>
              </w:rPr>
              <w:t>18</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53" w:history="1">
            <w:r w:rsidRPr="00EE1D30">
              <w:rPr>
                <w:rStyle w:val="Hyperlink"/>
                <w:noProof/>
              </w:rPr>
              <w:t>Pränatale Bluttests auf dem Prüfstand</w:t>
            </w:r>
            <w:r>
              <w:rPr>
                <w:noProof/>
                <w:webHidden/>
              </w:rPr>
              <w:tab/>
            </w:r>
            <w:r>
              <w:rPr>
                <w:noProof/>
                <w:webHidden/>
              </w:rPr>
              <w:fldChar w:fldCharType="begin"/>
            </w:r>
            <w:r>
              <w:rPr>
                <w:noProof/>
                <w:webHidden/>
              </w:rPr>
              <w:instrText xml:space="preserve"> PAGEREF _Toc230066553 \h </w:instrText>
            </w:r>
            <w:r>
              <w:rPr>
                <w:noProof/>
                <w:webHidden/>
              </w:rPr>
            </w:r>
            <w:r>
              <w:rPr>
                <w:noProof/>
                <w:webHidden/>
              </w:rPr>
              <w:fldChar w:fldCharType="separate"/>
            </w:r>
            <w:r>
              <w:rPr>
                <w:noProof/>
                <w:webHidden/>
              </w:rPr>
              <w:t>18</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54" w:history="1">
            <w:r w:rsidRPr="00EE1D30">
              <w:rPr>
                <w:rStyle w:val="Hyperlink"/>
                <w:noProof/>
              </w:rPr>
              <w:t>Verordnete Aktivitäten</w:t>
            </w:r>
            <w:r>
              <w:rPr>
                <w:noProof/>
                <w:webHidden/>
              </w:rPr>
              <w:tab/>
            </w:r>
            <w:r>
              <w:rPr>
                <w:noProof/>
                <w:webHidden/>
              </w:rPr>
              <w:fldChar w:fldCharType="begin"/>
            </w:r>
            <w:r>
              <w:rPr>
                <w:noProof/>
                <w:webHidden/>
              </w:rPr>
              <w:instrText xml:space="preserve"> PAGEREF _Toc230066554 \h </w:instrText>
            </w:r>
            <w:r>
              <w:rPr>
                <w:noProof/>
                <w:webHidden/>
              </w:rPr>
            </w:r>
            <w:r>
              <w:rPr>
                <w:noProof/>
                <w:webHidden/>
              </w:rPr>
              <w:fldChar w:fldCharType="separate"/>
            </w:r>
            <w:r>
              <w:rPr>
                <w:noProof/>
                <w:webHidden/>
              </w:rPr>
              <w:t>20</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55" w:history="1">
            <w:r w:rsidRPr="00EE1D30">
              <w:rPr>
                <w:rStyle w:val="Hyperlink"/>
                <w:noProof/>
              </w:rPr>
              <w:t>Ein gesunder Lebensstil zahlt sich aus</w:t>
            </w:r>
            <w:r>
              <w:rPr>
                <w:noProof/>
                <w:webHidden/>
              </w:rPr>
              <w:tab/>
            </w:r>
            <w:r>
              <w:rPr>
                <w:noProof/>
                <w:webHidden/>
              </w:rPr>
              <w:fldChar w:fldCharType="begin"/>
            </w:r>
            <w:r>
              <w:rPr>
                <w:noProof/>
                <w:webHidden/>
              </w:rPr>
              <w:instrText xml:space="preserve"> PAGEREF _Toc230066555 \h </w:instrText>
            </w:r>
            <w:r>
              <w:rPr>
                <w:noProof/>
                <w:webHidden/>
              </w:rPr>
            </w:r>
            <w:r>
              <w:rPr>
                <w:noProof/>
                <w:webHidden/>
              </w:rPr>
              <w:fldChar w:fldCharType="separate"/>
            </w:r>
            <w:r>
              <w:rPr>
                <w:noProof/>
                <w:webHidden/>
              </w:rPr>
              <w:t>21</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56" w:history="1">
            <w:r w:rsidRPr="00EE1D30">
              <w:rPr>
                <w:rStyle w:val="Hyperlink"/>
                <w:noProof/>
              </w:rPr>
              <w:t>116 117 – die Nummer mit Potenzial</w:t>
            </w:r>
            <w:r>
              <w:rPr>
                <w:noProof/>
                <w:webHidden/>
              </w:rPr>
              <w:tab/>
            </w:r>
            <w:r>
              <w:rPr>
                <w:noProof/>
                <w:webHidden/>
              </w:rPr>
              <w:fldChar w:fldCharType="begin"/>
            </w:r>
            <w:r>
              <w:rPr>
                <w:noProof/>
                <w:webHidden/>
              </w:rPr>
              <w:instrText xml:space="preserve"> PAGEREF _Toc230066556 \h </w:instrText>
            </w:r>
            <w:r>
              <w:rPr>
                <w:noProof/>
                <w:webHidden/>
              </w:rPr>
            </w:r>
            <w:r>
              <w:rPr>
                <w:noProof/>
                <w:webHidden/>
              </w:rPr>
              <w:fldChar w:fldCharType="separate"/>
            </w:r>
            <w:r>
              <w:rPr>
                <w:noProof/>
                <w:webHidden/>
              </w:rPr>
              <w:t>22</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57" w:history="1">
            <w:r w:rsidRPr="00EE1D30">
              <w:rPr>
                <w:rStyle w:val="Hyperlink"/>
                <w:noProof/>
              </w:rPr>
              <w:t>Meningitis – einegroße Gefahr</w:t>
            </w:r>
            <w:r>
              <w:rPr>
                <w:noProof/>
                <w:webHidden/>
              </w:rPr>
              <w:tab/>
            </w:r>
            <w:r>
              <w:rPr>
                <w:noProof/>
                <w:webHidden/>
              </w:rPr>
              <w:fldChar w:fldCharType="begin"/>
            </w:r>
            <w:r>
              <w:rPr>
                <w:noProof/>
                <w:webHidden/>
              </w:rPr>
              <w:instrText xml:space="preserve"> PAGEREF _Toc230066557 \h </w:instrText>
            </w:r>
            <w:r>
              <w:rPr>
                <w:noProof/>
                <w:webHidden/>
              </w:rPr>
            </w:r>
            <w:r>
              <w:rPr>
                <w:noProof/>
                <w:webHidden/>
              </w:rPr>
              <w:fldChar w:fldCharType="separate"/>
            </w:r>
            <w:r>
              <w:rPr>
                <w:noProof/>
                <w:webHidden/>
              </w:rPr>
              <w:t>24</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58" w:history="1">
            <w:r w:rsidRPr="00EE1D30">
              <w:rPr>
                <w:rStyle w:val="Hyperlink"/>
                <w:noProof/>
              </w:rPr>
              <w:t>Rauchen kann die Augen schädigen</w:t>
            </w:r>
            <w:r>
              <w:rPr>
                <w:noProof/>
                <w:webHidden/>
              </w:rPr>
              <w:tab/>
            </w:r>
            <w:r>
              <w:rPr>
                <w:noProof/>
                <w:webHidden/>
              </w:rPr>
              <w:fldChar w:fldCharType="begin"/>
            </w:r>
            <w:r>
              <w:rPr>
                <w:noProof/>
                <w:webHidden/>
              </w:rPr>
              <w:instrText xml:space="preserve"> PAGEREF _Toc230066558 \h </w:instrText>
            </w:r>
            <w:r>
              <w:rPr>
                <w:noProof/>
                <w:webHidden/>
              </w:rPr>
            </w:r>
            <w:r>
              <w:rPr>
                <w:noProof/>
                <w:webHidden/>
              </w:rPr>
              <w:fldChar w:fldCharType="separate"/>
            </w:r>
            <w:r>
              <w:rPr>
                <w:noProof/>
                <w:webHidden/>
              </w:rPr>
              <w:t>25</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59" w:history="1">
            <w:r w:rsidRPr="00EE1D30">
              <w:rPr>
                <w:rStyle w:val="Hyperlink"/>
                <w:noProof/>
              </w:rPr>
              <w:t>Fürsorge als weibliche Armutsfalle</w:t>
            </w:r>
            <w:r>
              <w:rPr>
                <w:noProof/>
                <w:webHidden/>
              </w:rPr>
              <w:tab/>
            </w:r>
            <w:r>
              <w:rPr>
                <w:noProof/>
                <w:webHidden/>
              </w:rPr>
              <w:fldChar w:fldCharType="begin"/>
            </w:r>
            <w:r>
              <w:rPr>
                <w:noProof/>
                <w:webHidden/>
              </w:rPr>
              <w:instrText xml:space="preserve"> PAGEREF _Toc230066559 \h </w:instrText>
            </w:r>
            <w:r>
              <w:rPr>
                <w:noProof/>
                <w:webHidden/>
              </w:rPr>
            </w:r>
            <w:r>
              <w:rPr>
                <w:noProof/>
                <w:webHidden/>
              </w:rPr>
              <w:fldChar w:fldCharType="separate"/>
            </w:r>
            <w:r>
              <w:rPr>
                <w:noProof/>
                <w:webHidden/>
              </w:rPr>
              <w:t>26</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60" w:history="1">
            <w:r w:rsidRPr="00EE1D30">
              <w:rPr>
                <w:rStyle w:val="Hyperlink"/>
                <w:noProof/>
              </w:rPr>
              <w:t>Die KI macht, was wir ihr beibringen</w:t>
            </w:r>
            <w:r>
              <w:rPr>
                <w:noProof/>
                <w:webHidden/>
              </w:rPr>
              <w:tab/>
            </w:r>
            <w:r>
              <w:rPr>
                <w:noProof/>
                <w:webHidden/>
              </w:rPr>
              <w:fldChar w:fldCharType="begin"/>
            </w:r>
            <w:r>
              <w:rPr>
                <w:noProof/>
                <w:webHidden/>
              </w:rPr>
              <w:instrText xml:space="preserve"> PAGEREF _Toc230066560 \h </w:instrText>
            </w:r>
            <w:r>
              <w:rPr>
                <w:noProof/>
                <w:webHidden/>
              </w:rPr>
            </w:r>
            <w:r>
              <w:rPr>
                <w:noProof/>
                <w:webHidden/>
              </w:rPr>
              <w:fldChar w:fldCharType="separate"/>
            </w:r>
            <w:r>
              <w:rPr>
                <w:noProof/>
                <w:webHidden/>
              </w:rPr>
              <w:t>27</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61" w:history="1">
            <w:r w:rsidRPr="00EE1D30">
              <w:rPr>
                <w:rStyle w:val="Hyperlink"/>
                <w:noProof/>
              </w:rPr>
              <w:t>Rentenalter undLebenserwartung</w:t>
            </w:r>
            <w:r>
              <w:rPr>
                <w:noProof/>
                <w:webHidden/>
              </w:rPr>
              <w:tab/>
            </w:r>
            <w:r>
              <w:rPr>
                <w:noProof/>
                <w:webHidden/>
              </w:rPr>
              <w:fldChar w:fldCharType="begin"/>
            </w:r>
            <w:r>
              <w:rPr>
                <w:noProof/>
                <w:webHidden/>
              </w:rPr>
              <w:instrText xml:space="preserve"> PAGEREF _Toc230066561 \h </w:instrText>
            </w:r>
            <w:r>
              <w:rPr>
                <w:noProof/>
                <w:webHidden/>
              </w:rPr>
            </w:r>
            <w:r>
              <w:rPr>
                <w:noProof/>
                <w:webHidden/>
              </w:rPr>
              <w:fldChar w:fldCharType="separate"/>
            </w:r>
            <w:r>
              <w:rPr>
                <w:noProof/>
                <w:webHidden/>
              </w:rPr>
              <w:t>28</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62" w:history="1">
            <w:r w:rsidRPr="00EE1D30">
              <w:rPr>
                <w:rStyle w:val="Hyperlink"/>
                <w:noProof/>
              </w:rPr>
              <w:t>„Krankheiten werden übersehen“</w:t>
            </w:r>
            <w:r>
              <w:rPr>
                <w:noProof/>
                <w:webHidden/>
              </w:rPr>
              <w:tab/>
            </w:r>
            <w:r>
              <w:rPr>
                <w:noProof/>
                <w:webHidden/>
              </w:rPr>
              <w:fldChar w:fldCharType="begin"/>
            </w:r>
            <w:r>
              <w:rPr>
                <w:noProof/>
                <w:webHidden/>
              </w:rPr>
              <w:instrText xml:space="preserve"> PAGEREF _Toc230066562 \h </w:instrText>
            </w:r>
            <w:r>
              <w:rPr>
                <w:noProof/>
                <w:webHidden/>
              </w:rPr>
            </w:r>
            <w:r>
              <w:rPr>
                <w:noProof/>
                <w:webHidden/>
              </w:rPr>
              <w:fldChar w:fldCharType="separate"/>
            </w:r>
            <w:r>
              <w:rPr>
                <w:noProof/>
                <w:webHidden/>
              </w:rPr>
              <w:t>29</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63" w:history="1">
            <w:r w:rsidRPr="00EE1D30">
              <w:rPr>
                <w:rStyle w:val="Hyperlink"/>
                <w:noProof/>
              </w:rPr>
              <w:t>Pendlerpauschale: fair geht anders</w:t>
            </w:r>
            <w:r>
              <w:rPr>
                <w:noProof/>
                <w:webHidden/>
              </w:rPr>
              <w:tab/>
            </w:r>
            <w:r>
              <w:rPr>
                <w:noProof/>
                <w:webHidden/>
              </w:rPr>
              <w:fldChar w:fldCharType="begin"/>
            </w:r>
            <w:r>
              <w:rPr>
                <w:noProof/>
                <w:webHidden/>
              </w:rPr>
              <w:instrText xml:space="preserve"> PAGEREF _Toc230066563 \h </w:instrText>
            </w:r>
            <w:r>
              <w:rPr>
                <w:noProof/>
                <w:webHidden/>
              </w:rPr>
            </w:r>
            <w:r>
              <w:rPr>
                <w:noProof/>
                <w:webHidden/>
              </w:rPr>
              <w:fldChar w:fldCharType="separate"/>
            </w:r>
            <w:r>
              <w:rPr>
                <w:noProof/>
                <w:webHidden/>
              </w:rPr>
              <w:t>30</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64" w:history="1">
            <w:r w:rsidRPr="00EE1D30">
              <w:rPr>
                <w:rStyle w:val="Hyperlink"/>
                <w:noProof/>
              </w:rPr>
              <w:t>Aktuelle Filme auf VdK-TV</w:t>
            </w:r>
            <w:r>
              <w:rPr>
                <w:noProof/>
                <w:webHidden/>
              </w:rPr>
              <w:tab/>
            </w:r>
            <w:r>
              <w:rPr>
                <w:noProof/>
                <w:webHidden/>
              </w:rPr>
              <w:fldChar w:fldCharType="begin"/>
            </w:r>
            <w:r>
              <w:rPr>
                <w:noProof/>
                <w:webHidden/>
              </w:rPr>
              <w:instrText xml:space="preserve"> PAGEREF _Toc230066564 \h </w:instrText>
            </w:r>
            <w:r>
              <w:rPr>
                <w:noProof/>
                <w:webHidden/>
              </w:rPr>
            </w:r>
            <w:r>
              <w:rPr>
                <w:noProof/>
                <w:webHidden/>
              </w:rPr>
              <w:fldChar w:fldCharType="separate"/>
            </w:r>
            <w:r>
              <w:rPr>
                <w:noProof/>
                <w:webHidden/>
              </w:rPr>
              <w:t>31</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65" w:history="1">
            <w:r w:rsidRPr="00EE1D30">
              <w:rPr>
                <w:rStyle w:val="Hyperlink"/>
                <w:noProof/>
              </w:rPr>
              <w:t>„miteinander“ im Juni</w:t>
            </w:r>
            <w:r>
              <w:rPr>
                <w:noProof/>
                <w:webHidden/>
              </w:rPr>
              <w:tab/>
            </w:r>
            <w:r>
              <w:rPr>
                <w:noProof/>
                <w:webHidden/>
              </w:rPr>
              <w:fldChar w:fldCharType="begin"/>
            </w:r>
            <w:r>
              <w:rPr>
                <w:noProof/>
                <w:webHidden/>
              </w:rPr>
              <w:instrText xml:space="preserve"> PAGEREF _Toc230066565 \h </w:instrText>
            </w:r>
            <w:r>
              <w:rPr>
                <w:noProof/>
                <w:webHidden/>
              </w:rPr>
            </w:r>
            <w:r>
              <w:rPr>
                <w:noProof/>
                <w:webHidden/>
              </w:rPr>
              <w:fldChar w:fldCharType="separate"/>
            </w:r>
            <w:r>
              <w:rPr>
                <w:noProof/>
                <w:webHidden/>
              </w:rPr>
              <w:t>32</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66" w:history="1">
            <w:r w:rsidRPr="00EE1D30">
              <w:rPr>
                <w:rStyle w:val="Hyperlink"/>
                <w:noProof/>
              </w:rPr>
              <w:t>Die kurze Geschichte des Golden Goals</w:t>
            </w:r>
            <w:r>
              <w:rPr>
                <w:noProof/>
                <w:webHidden/>
              </w:rPr>
              <w:tab/>
            </w:r>
            <w:r>
              <w:rPr>
                <w:noProof/>
                <w:webHidden/>
              </w:rPr>
              <w:fldChar w:fldCharType="begin"/>
            </w:r>
            <w:r>
              <w:rPr>
                <w:noProof/>
                <w:webHidden/>
              </w:rPr>
              <w:instrText xml:space="preserve"> PAGEREF _Toc230066566 \h </w:instrText>
            </w:r>
            <w:r>
              <w:rPr>
                <w:noProof/>
                <w:webHidden/>
              </w:rPr>
            </w:r>
            <w:r>
              <w:rPr>
                <w:noProof/>
                <w:webHidden/>
              </w:rPr>
              <w:fldChar w:fldCharType="separate"/>
            </w:r>
            <w:r>
              <w:rPr>
                <w:noProof/>
                <w:webHidden/>
              </w:rPr>
              <w:t>33</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67" w:history="1">
            <w:r w:rsidRPr="00EE1D30">
              <w:rPr>
                <w:rStyle w:val="Hyperlink"/>
                <w:noProof/>
              </w:rPr>
              <w:t>Schlechte Karten für Fans mit Behinderung</w:t>
            </w:r>
            <w:r>
              <w:rPr>
                <w:noProof/>
                <w:webHidden/>
              </w:rPr>
              <w:tab/>
            </w:r>
            <w:r>
              <w:rPr>
                <w:noProof/>
                <w:webHidden/>
              </w:rPr>
              <w:fldChar w:fldCharType="begin"/>
            </w:r>
            <w:r>
              <w:rPr>
                <w:noProof/>
                <w:webHidden/>
              </w:rPr>
              <w:instrText xml:space="preserve"> PAGEREF _Toc230066567 \h </w:instrText>
            </w:r>
            <w:r>
              <w:rPr>
                <w:noProof/>
                <w:webHidden/>
              </w:rPr>
            </w:r>
            <w:r>
              <w:rPr>
                <w:noProof/>
                <w:webHidden/>
              </w:rPr>
              <w:fldChar w:fldCharType="separate"/>
            </w:r>
            <w:r>
              <w:rPr>
                <w:noProof/>
                <w:webHidden/>
              </w:rPr>
              <w:t>34</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68" w:history="1">
            <w:r w:rsidRPr="00EE1D30">
              <w:rPr>
                <w:rStyle w:val="Hyperlink"/>
                <w:noProof/>
              </w:rPr>
              <w:t>Augen auf beim Trikotkauf</w:t>
            </w:r>
            <w:r>
              <w:rPr>
                <w:noProof/>
                <w:webHidden/>
              </w:rPr>
              <w:tab/>
            </w:r>
            <w:r>
              <w:rPr>
                <w:noProof/>
                <w:webHidden/>
              </w:rPr>
              <w:fldChar w:fldCharType="begin"/>
            </w:r>
            <w:r>
              <w:rPr>
                <w:noProof/>
                <w:webHidden/>
              </w:rPr>
              <w:instrText xml:space="preserve"> PAGEREF _Toc230066568 \h </w:instrText>
            </w:r>
            <w:r>
              <w:rPr>
                <w:noProof/>
                <w:webHidden/>
              </w:rPr>
            </w:r>
            <w:r>
              <w:rPr>
                <w:noProof/>
                <w:webHidden/>
              </w:rPr>
              <w:fldChar w:fldCharType="separate"/>
            </w:r>
            <w:r>
              <w:rPr>
                <w:noProof/>
                <w:webHidden/>
              </w:rPr>
              <w:t>35</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69" w:history="1">
            <w:r w:rsidRPr="00EE1D30">
              <w:rPr>
                <w:rStyle w:val="Hyperlink"/>
                <w:noProof/>
              </w:rPr>
              <w:t>Wo die Fußball-WMzu sehen ist</w:t>
            </w:r>
            <w:r>
              <w:rPr>
                <w:noProof/>
                <w:webHidden/>
              </w:rPr>
              <w:tab/>
            </w:r>
            <w:r>
              <w:rPr>
                <w:noProof/>
                <w:webHidden/>
              </w:rPr>
              <w:fldChar w:fldCharType="begin"/>
            </w:r>
            <w:r>
              <w:rPr>
                <w:noProof/>
                <w:webHidden/>
              </w:rPr>
              <w:instrText xml:space="preserve"> PAGEREF _Toc230066569 \h </w:instrText>
            </w:r>
            <w:r>
              <w:rPr>
                <w:noProof/>
                <w:webHidden/>
              </w:rPr>
            </w:r>
            <w:r>
              <w:rPr>
                <w:noProof/>
                <w:webHidden/>
              </w:rPr>
              <w:fldChar w:fldCharType="separate"/>
            </w:r>
            <w:r>
              <w:rPr>
                <w:noProof/>
                <w:webHidden/>
              </w:rPr>
              <w:t>36</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70" w:history="1">
            <w:r w:rsidRPr="00EE1D30">
              <w:rPr>
                <w:rStyle w:val="Hyperlink"/>
                <w:noProof/>
              </w:rPr>
              <w:t>Einblicke in die Mitgliederkartei der NSDAP</w:t>
            </w:r>
            <w:r>
              <w:rPr>
                <w:noProof/>
                <w:webHidden/>
              </w:rPr>
              <w:tab/>
            </w:r>
            <w:r>
              <w:rPr>
                <w:noProof/>
                <w:webHidden/>
              </w:rPr>
              <w:fldChar w:fldCharType="begin"/>
            </w:r>
            <w:r>
              <w:rPr>
                <w:noProof/>
                <w:webHidden/>
              </w:rPr>
              <w:instrText xml:space="preserve"> PAGEREF _Toc230066570 \h </w:instrText>
            </w:r>
            <w:r>
              <w:rPr>
                <w:noProof/>
                <w:webHidden/>
              </w:rPr>
            </w:r>
            <w:r>
              <w:rPr>
                <w:noProof/>
                <w:webHidden/>
              </w:rPr>
              <w:fldChar w:fldCharType="separate"/>
            </w:r>
            <w:r>
              <w:rPr>
                <w:noProof/>
                <w:webHidden/>
              </w:rPr>
              <w:t>36</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71" w:history="1">
            <w:r w:rsidRPr="00EE1D30">
              <w:rPr>
                <w:rStyle w:val="Hyperlink"/>
                <w:noProof/>
              </w:rPr>
              <w:t>„Anderssein ist eine Superkraft“</w:t>
            </w:r>
            <w:r>
              <w:rPr>
                <w:noProof/>
                <w:webHidden/>
              </w:rPr>
              <w:tab/>
            </w:r>
            <w:r>
              <w:rPr>
                <w:noProof/>
                <w:webHidden/>
              </w:rPr>
              <w:fldChar w:fldCharType="begin"/>
            </w:r>
            <w:r>
              <w:rPr>
                <w:noProof/>
                <w:webHidden/>
              </w:rPr>
              <w:instrText xml:space="preserve"> PAGEREF _Toc230066571 \h </w:instrText>
            </w:r>
            <w:r>
              <w:rPr>
                <w:noProof/>
                <w:webHidden/>
              </w:rPr>
            </w:r>
            <w:r>
              <w:rPr>
                <w:noProof/>
                <w:webHidden/>
              </w:rPr>
              <w:fldChar w:fldCharType="separate"/>
            </w:r>
            <w:r>
              <w:rPr>
                <w:noProof/>
                <w:webHidden/>
              </w:rPr>
              <w:t>38</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72" w:history="1">
            <w:r w:rsidRPr="00EE1D30">
              <w:rPr>
                <w:rStyle w:val="Hyperlink"/>
                <w:noProof/>
              </w:rPr>
              <w:t>Anderssein isteine Superkraft</w:t>
            </w:r>
            <w:r>
              <w:rPr>
                <w:noProof/>
                <w:webHidden/>
              </w:rPr>
              <w:tab/>
            </w:r>
            <w:r>
              <w:rPr>
                <w:noProof/>
                <w:webHidden/>
              </w:rPr>
              <w:fldChar w:fldCharType="begin"/>
            </w:r>
            <w:r>
              <w:rPr>
                <w:noProof/>
                <w:webHidden/>
              </w:rPr>
              <w:instrText xml:space="preserve"> PAGEREF _Toc230066572 \h </w:instrText>
            </w:r>
            <w:r>
              <w:rPr>
                <w:noProof/>
                <w:webHidden/>
              </w:rPr>
            </w:r>
            <w:r>
              <w:rPr>
                <w:noProof/>
                <w:webHidden/>
              </w:rPr>
              <w:fldChar w:fldCharType="separate"/>
            </w:r>
            <w:r>
              <w:rPr>
                <w:noProof/>
                <w:webHidden/>
              </w:rPr>
              <w:t>40</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73" w:history="1">
            <w:r w:rsidRPr="00EE1D30">
              <w:rPr>
                <w:rStyle w:val="Hyperlink"/>
                <w:noProof/>
              </w:rPr>
              <w:t>Die Autobiografie von Steven Elijah Neuhaus gibt Einblicke in sein Leben mit Autismus, Legasthenie und Sehbehinderung.</w:t>
            </w:r>
            <w:r>
              <w:rPr>
                <w:noProof/>
                <w:webHidden/>
              </w:rPr>
              <w:tab/>
            </w:r>
            <w:r>
              <w:rPr>
                <w:noProof/>
                <w:webHidden/>
              </w:rPr>
              <w:fldChar w:fldCharType="begin"/>
            </w:r>
            <w:r>
              <w:rPr>
                <w:noProof/>
                <w:webHidden/>
              </w:rPr>
              <w:instrText xml:space="preserve"> PAGEREF _Toc230066573 \h </w:instrText>
            </w:r>
            <w:r>
              <w:rPr>
                <w:noProof/>
                <w:webHidden/>
              </w:rPr>
            </w:r>
            <w:r>
              <w:rPr>
                <w:noProof/>
                <w:webHidden/>
              </w:rPr>
              <w:fldChar w:fldCharType="separate"/>
            </w:r>
            <w:r>
              <w:rPr>
                <w:noProof/>
                <w:webHidden/>
              </w:rPr>
              <w:t>40</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74" w:history="1">
            <w:r w:rsidRPr="00EE1D30">
              <w:rPr>
                <w:rStyle w:val="Hyperlink"/>
                <w:noProof/>
              </w:rPr>
              <w:t>Verlag Monika Fuchs,200 Seiten.Preis: 20 Euro.</w:t>
            </w:r>
            <w:r w:rsidRPr="00EE1D30">
              <w:rPr>
                <w:rStyle w:val="Hyperlink"/>
                <w:noProof/>
              </w:rPr>
              <w:t>  ISBN 978-3-947066-77-3</w:t>
            </w:r>
            <w:r>
              <w:rPr>
                <w:noProof/>
                <w:webHidden/>
              </w:rPr>
              <w:tab/>
            </w:r>
            <w:r>
              <w:rPr>
                <w:noProof/>
                <w:webHidden/>
              </w:rPr>
              <w:fldChar w:fldCharType="begin"/>
            </w:r>
            <w:r>
              <w:rPr>
                <w:noProof/>
                <w:webHidden/>
              </w:rPr>
              <w:instrText xml:space="preserve"> PAGEREF _Toc230066574 \h </w:instrText>
            </w:r>
            <w:r>
              <w:rPr>
                <w:noProof/>
                <w:webHidden/>
              </w:rPr>
            </w:r>
            <w:r>
              <w:rPr>
                <w:noProof/>
                <w:webHidden/>
              </w:rPr>
              <w:fldChar w:fldCharType="separate"/>
            </w:r>
            <w:r>
              <w:rPr>
                <w:noProof/>
                <w:webHidden/>
              </w:rPr>
              <w:t>40</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75" w:history="1">
            <w:r w:rsidRPr="00EE1D30">
              <w:rPr>
                <w:rStyle w:val="Hyperlink"/>
                <w:noProof/>
              </w:rPr>
              <w:t>Zwischen Tankrabatt und Krisenbremse</w:t>
            </w:r>
            <w:r>
              <w:rPr>
                <w:noProof/>
                <w:webHidden/>
              </w:rPr>
              <w:tab/>
            </w:r>
            <w:r>
              <w:rPr>
                <w:noProof/>
                <w:webHidden/>
              </w:rPr>
              <w:fldChar w:fldCharType="begin"/>
            </w:r>
            <w:r>
              <w:rPr>
                <w:noProof/>
                <w:webHidden/>
              </w:rPr>
              <w:instrText xml:space="preserve"> PAGEREF _Toc230066575 \h </w:instrText>
            </w:r>
            <w:r>
              <w:rPr>
                <w:noProof/>
                <w:webHidden/>
              </w:rPr>
            </w:r>
            <w:r>
              <w:rPr>
                <w:noProof/>
                <w:webHidden/>
              </w:rPr>
              <w:fldChar w:fldCharType="separate"/>
            </w:r>
            <w:r>
              <w:rPr>
                <w:noProof/>
                <w:webHidden/>
              </w:rPr>
              <w:t>40</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76" w:history="1">
            <w:r w:rsidRPr="00EE1D30">
              <w:rPr>
                <w:rStyle w:val="Hyperlink"/>
                <w:noProof/>
              </w:rPr>
              <w:t>Wohnkosten zehren kleine Renten auf</w:t>
            </w:r>
            <w:r>
              <w:rPr>
                <w:noProof/>
                <w:webHidden/>
              </w:rPr>
              <w:tab/>
            </w:r>
            <w:r>
              <w:rPr>
                <w:noProof/>
                <w:webHidden/>
              </w:rPr>
              <w:fldChar w:fldCharType="begin"/>
            </w:r>
            <w:r>
              <w:rPr>
                <w:noProof/>
                <w:webHidden/>
              </w:rPr>
              <w:instrText xml:space="preserve"> PAGEREF _Toc230066576 \h </w:instrText>
            </w:r>
            <w:r>
              <w:rPr>
                <w:noProof/>
                <w:webHidden/>
              </w:rPr>
            </w:r>
            <w:r>
              <w:rPr>
                <w:noProof/>
                <w:webHidden/>
              </w:rPr>
              <w:fldChar w:fldCharType="separate"/>
            </w:r>
            <w:r>
              <w:rPr>
                <w:noProof/>
                <w:webHidden/>
              </w:rPr>
              <w:t>41</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77" w:history="1">
            <w:r w:rsidRPr="00EE1D30">
              <w:rPr>
                <w:rStyle w:val="Hyperlink"/>
                <w:noProof/>
              </w:rPr>
              <w:t>Mit Verspätung in den Urlaub</w:t>
            </w:r>
            <w:r>
              <w:rPr>
                <w:noProof/>
                <w:webHidden/>
              </w:rPr>
              <w:tab/>
            </w:r>
            <w:r>
              <w:rPr>
                <w:noProof/>
                <w:webHidden/>
              </w:rPr>
              <w:fldChar w:fldCharType="begin"/>
            </w:r>
            <w:r>
              <w:rPr>
                <w:noProof/>
                <w:webHidden/>
              </w:rPr>
              <w:instrText xml:space="preserve"> PAGEREF _Toc230066577 \h </w:instrText>
            </w:r>
            <w:r>
              <w:rPr>
                <w:noProof/>
                <w:webHidden/>
              </w:rPr>
            </w:r>
            <w:r>
              <w:rPr>
                <w:noProof/>
                <w:webHidden/>
              </w:rPr>
              <w:fldChar w:fldCharType="separate"/>
            </w:r>
            <w:r>
              <w:rPr>
                <w:noProof/>
                <w:webHidden/>
              </w:rPr>
              <w:t>42</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78" w:history="1">
            <w:r w:rsidRPr="00EE1D30">
              <w:rPr>
                <w:rStyle w:val="Hyperlink"/>
                <w:noProof/>
              </w:rPr>
              <w:t>Verunsicherung durch Smart-Meter-Briefe</w:t>
            </w:r>
            <w:r>
              <w:rPr>
                <w:noProof/>
                <w:webHidden/>
              </w:rPr>
              <w:tab/>
            </w:r>
            <w:r>
              <w:rPr>
                <w:noProof/>
                <w:webHidden/>
              </w:rPr>
              <w:fldChar w:fldCharType="begin"/>
            </w:r>
            <w:r>
              <w:rPr>
                <w:noProof/>
                <w:webHidden/>
              </w:rPr>
              <w:instrText xml:space="preserve"> PAGEREF _Toc230066578 \h </w:instrText>
            </w:r>
            <w:r>
              <w:rPr>
                <w:noProof/>
                <w:webHidden/>
              </w:rPr>
            </w:r>
            <w:r>
              <w:rPr>
                <w:noProof/>
                <w:webHidden/>
              </w:rPr>
              <w:fldChar w:fldCharType="separate"/>
            </w:r>
            <w:r>
              <w:rPr>
                <w:noProof/>
                <w:webHidden/>
              </w:rPr>
              <w:t>43</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79" w:history="1">
            <w:r w:rsidRPr="00EE1D30">
              <w:rPr>
                <w:rStyle w:val="Hyperlink"/>
                <w:noProof/>
              </w:rPr>
              <w:t>So gelingt der Stromanbieterwechsel</w:t>
            </w:r>
            <w:r>
              <w:rPr>
                <w:noProof/>
                <w:webHidden/>
              </w:rPr>
              <w:tab/>
            </w:r>
            <w:r>
              <w:rPr>
                <w:noProof/>
                <w:webHidden/>
              </w:rPr>
              <w:fldChar w:fldCharType="begin"/>
            </w:r>
            <w:r>
              <w:rPr>
                <w:noProof/>
                <w:webHidden/>
              </w:rPr>
              <w:instrText xml:space="preserve"> PAGEREF _Toc230066579 \h </w:instrText>
            </w:r>
            <w:r>
              <w:rPr>
                <w:noProof/>
                <w:webHidden/>
              </w:rPr>
            </w:r>
            <w:r>
              <w:rPr>
                <w:noProof/>
                <w:webHidden/>
              </w:rPr>
              <w:fldChar w:fldCharType="separate"/>
            </w:r>
            <w:r>
              <w:rPr>
                <w:noProof/>
                <w:webHidden/>
              </w:rPr>
              <w:t>44</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80" w:history="1">
            <w:r w:rsidRPr="00EE1D30">
              <w:rPr>
                <w:rStyle w:val="Hyperlink"/>
                <w:noProof/>
              </w:rPr>
              <w:t>„Nur eine Übergangslösung“</w:t>
            </w:r>
            <w:r>
              <w:rPr>
                <w:noProof/>
                <w:webHidden/>
              </w:rPr>
              <w:tab/>
            </w:r>
            <w:r>
              <w:rPr>
                <w:noProof/>
                <w:webHidden/>
              </w:rPr>
              <w:fldChar w:fldCharType="begin"/>
            </w:r>
            <w:r>
              <w:rPr>
                <w:noProof/>
                <w:webHidden/>
              </w:rPr>
              <w:instrText xml:space="preserve"> PAGEREF _Toc230066580 \h </w:instrText>
            </w:r>
            <w:r>
              <w:rPr>
                <w:noProof/>
                <w:webHidden/>
              </w:rPr>
            </w:r>
            <w:r>
              <w:rPr>
                <w:noProof/>
                <w:webHidden/>
              </w:rPr>
              <w:fldChar w:fldCharType="separate"/>
            </w:r>
            <w:r>
              <w:rPr>
                <w:noProof/>
                <w:webHidden/>
              </w:rPr>
              <w:t>45</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81" w:history="1">
            <w:r w:rsidRPr="00EE1D30">
              <w:rPr>
                <w:rStyle w:val="Hyperlink"/>
                <w:noProof/>
              </w:rPr>
              <w:t>Zeitersparnis mit Haken</w:t>
            </w:r>
            <w:r>
              <w:rPr>
                <w:noProof/>
                <w:webHidden/>
              </w:rPr>
              <w:tab/>
            </w:r>
            <w:r>
              <w:rPr>
                <w:noProof/>
                <w:webHidden/>
              </w:rPr>
              <w:fldChar w:fldCharType="begin"/>
            </w:r>
            <w:r>
              <w:rPr>
                <w:noProof/>
                <w:webHidden/>
              </w:rPr>
              <w:instrText xml:space="preserve"> PAGEREF _Toc230066581 \h </w:instrText>
            </w:r>
            <w:r>
              <w:rPr>
                <w:noProof/>
                <w:webHidden/>
              </w:rPr>
            </w:r>
            <w:r>
              <w:rPr>
                <w:noProof/>
                <w:webHidden/>
              </w:rPr>
              <w:fldChar w:fldCharType="separate"/>
            </w:r>
            <w:r>
              <w:rPr>
                <w:noProof/>
                <w:webHidden/>
              </w:rPr>
              <w:t>46</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82" w:history="1">
            <w:r w:rsidRPr="00EE1D30">
              <w:rPr>
                <w:rStyle w:val="Hyperlink"/>
                <w:noProof/>
              </w:rPr>
              <w:t>Urlaub auf Balkonien</w:t>
            </w:r>
            <w:r>
              <w:rPr>
                <w:noProof/>
                <w:webHidden/>
              </w:rPr>
              <w:tab/>
            </w:r>
            <w:r>
              <w:rPr>
                <w:noProof/>
                <w:webHidden/>
              </w:rPr>
              <w:fldChar w:fldCharType="begin"/>
            </w:r>
            <w:r>
              <w:rPr>
                <w:noProof/>
                <w:webHidden/>
              </w:rPr>
              <w:instrText xml:space="preserve"> PAGEREF _Toc230066582 \h </w:instrText>
            </w:r>
            <w:r>
              <w:rPr>
                <w:noProof/>
                <w:webHidden/>
              </w:rPr>
            </w:r>
            <w:r>
              <w:rPr>
                <w:noProof/>
                <w:webHidden/>
              </w:rPr>
              <w:fldChar w:fldCharType="separate"/>
            </w:r>
            <w:r>
              <w:rPr>
                <w:noProof/>
                <w:webHidden/>
              </w:rPr>
              <w:t>47</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83" w:history="1">
            <w:r w:rsidRPr="00EE1D30">
              <w:rPr>
                <w:rStyle w:val="Hyperlink"/>
                <w:noProof/>
              </w:rPr>
              <w:t>Wäsche aufpeppen</w:t>
            </w:r>
            <w:r>
              <w:rPr>
                <w:noProof/>
                <w:webHidden/>
              </w:rPr>
              <w:tab/>
            </w:r>
            <w:r>
              <w:rPr>
                <w:noProof/>
                <w:webHidden/>
              </w:rPr>
              <w:fldChar w:fldCharType="begin"/>
            </w:r>
            <w:r>
              <w:rPr>
                <w:noProof/>
                <w:webHidden/>
              </w:rPr>
              <w:instrText xml:space="preserve"> PAGEREF _Toc230066583 \h </w:instrText>
            </w:r>
            <w:r>
              <w:rPr>
                <w:noProof/>
                <w:webHidden/>
              </w:rPr>
            </w:r>
            <w:r>
              <w:rPr>
                <w:noProof/>
                <w:webHidden/>
              </w:rPr>
              <w:fldChar w:fldCharType="separate"/>
            </w:r>
            <w:r>
              <w:rPr>
                <w:noProof/>
                <w:webHidden/>
              </w:rPr>
              <w:t>49</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84" w:history="1">
            <w:r w:rsidRPr="00EE1D30">
              <w:rPr>
                <w:rStyle w:val="Hyperlink"/>
                <w:noProof/>
              </w:rPr>
              <w:t>Linsen – Stars der modernen Küche</w:t>
            </w:r>
            <w:r>
              <w:rPr>
                <w:noProof/>
                <w:webHidden/>
              </w:rPr>
              <w:tab/>
            </w:r>
            <w:r>
              <w:rPr>
                <w:noProof/>
                <w:webHidden/>
              </w:rPr>
              <w:fldChar w:fldCharType="begin"/>
            </w:r>
            <w:r>
              <w:rPr>
                <w:noProof/>
                <w:webHidden/>
              </w:rPr>
              <w:instrText xml:space="preserve"> PAGEREF _Toc230066584 \h </w:instrText>
            </w:r>
            <w:r>
              <w:rPr>
                <w:noProof/>
                <w:webHidden/>
              </w:rPr>
            </w:r>
            <w:r>
              <w:rPr>
                <w:noProof/>
                <w:webHidden/>
              </w:rPr>
              <w:fldChar w:fldCharType="separate"/>
            </w:r>
            <w:r>
              <w:rPr>
                <w:noProof/>
                <w:webHidden/>
              </w:rPr>
              <w:t>49</w:t>
            </w:r>
            <w:r>
              <w:rPr>
                <w:noProof/>
                <w:webHidden/>
              </w:rPr>
              <w:fldChar w:fldCharType="end"/>
            </w:r>
          </w:hyperlink>
        </w:p>
        <w:p w:rsidR="0025623A" w:rsidRDefault="0025623A">
          <w:pPr>
            <w:pStyle w:val="Verzeichnis1"/>
            <w:tabs>
              <w:tab w:val="right" w:leader="dot" w:pos="9062"/>
            </w:tabs>
            <w:rPr>
              <w:rFonts w:asciiTheme="minorHAnsi" w:eastAsiaTheme="minorEastAsia" w:hAnsiTheme="minorHAnsi" w:cstheme="minorBidi"/>
              <w:noProof/>
              <w:lang w:eastAsia="de-DE"/>
            </w:rPr>
          </w:pPr>
          <w:hyperlink w:anchor="_Toc230066585" w:history="1">
            <w:r w:rsidRPr="00EE1D30">
              <w:rPr>
                <w:rStyle w:val="Hyperlink"/>
                <w:noProof/>
              </w:rPr>
              <w:t>Donner der Gefühle</w:t>
            </w:r>
            <w:r>
              <w:rPr>
                <w:noProof/>
                <w:webHidden/>
              </w:rPr>
              <w:tab/>
            </w:r>
            <w:r>
              <w:rPr>
                <w:noProof/>
                <w:webHidden/>
              </w:rPr>
              <w:fldChar w:fldCharType="begin"/>
            </w:r>
            <w:r>
              <w:rPr>
                <w:noProof/>
                <w:webHidden/>
              </w:rPr>
              <w:instrText xml:space="preserve"> PAGEREF _Toc230066585 \h </w:instrText>
            </w:r>
            <w:r>
              <w:rPr>
                <w:noProof/>
                <w:webHidden/>
              </w:rPr>
            </w:r>
            <w:r>
              <w:rPr>
                <w:noProof/>
                <w:webHidden/>
              </w:rPr>
              <w:fldChar w:fldCharType="separate"/>
            </w:r>
            <w:r>
              <w:rPr>
                <w:noProof/>
                <w:webHidden/>
              </w:rPr>
              <w:t>50</w:t>
            </w:r>
            <w:r>
              <w:rPr>
                <w:noProof/>
                <w:webHidden/>
              </w:rPr>
              <w:fldChar w:fldCharType="end"/>
            </w:r>
          </w:hyperlink>
        </w:p>
        <w:p w:rsidR="009A4B15" w:rsidRPr="009A4B15" w:rsidRDefault="00AA6B2B" w:rsidP="009A4B15">
          <w:pPr>
            <w:rPr>
              <w:b/>
            </w:rPr>
          </w:pPr>
          <w:r>
            <w:rPr>
              <w:b/>
              <w:bCs/>
              <w:noProof/>
            </w:rPr>
            <w:fldChar w:fldCharType="end"/>
          </w:r>
        </w:p>
      </w:sdtContent>
    </w:sdt>
    <w:p w:rsidR="009738F3" w:rsidRDefault="0025623A">
      <w:pPr>
        <w:pStyle w:val="berschrift1"/>
      </w:pPr>
      <w:bookmarkStart w:id="1" w:name="_Toc230066538"/>
      <w:r>
        <w:t>Sparen auf Kosten der Versicherten</w:t>
      </w:r>
      <w:bookmarkEnd w:id="1"/>
    </w:p>
    <w:p w:rsidR="009738F3" w:rsidRDefault="0025623A">
      <w:pPr>
        <w:pStyle w:val="Standard-Fett"/>
      </w:pPr>
      <w:r>
        <w:t>Der Sozialverband VdK kritisiert Reformpläne der Bundesregierung im Gesundheitswesen</w:t>
      </w:r>
    </w:p>
    <w:p w:rsidR="009738F3" w:rsidRDefault="0025623A">
      <w:pPr>
        <w:pStyle w:val="Vorspann"/>
      </w:pPr>
      <w:r>
        <w:t>Die Bundesregierung hat mit einem Kabinettsbeschluss den Weg für milliardenschwere Einsparungen im Ges</w:t>
      </w:r>
      <w:r>
        <w:t>undheitssystem frei gemacht. Der Sozialverband VdK bewertet die vorgesehenen Kürzungen als ein Sparprogramm auf Kosten der Versicherten.</w:t>
      </w:r>
    </w:p>
    <w:p w:rsidR="009738F3" w:rsidRDefault="0025623A">
      <w:r>
        <w:t>Noch müssen die Pläne im Bundestag beschlossen werden, aber es ist absehbar, dass auf gesetzlich Versicherte mit diesen</w:t>
      </w:r>
      <w:r>
        <w:t xml:space="preserve"> Reformen höhere Zuzahlungen und Einschnitte bei den Leistungen im Gesundheitssystem zukommen werden. Das selbst gesteckte Ziel der Bundesregierung ist es, die steigenden Kosten einzudämmen und damit zukünftige Beitragserhöhungen zu vermeiden. </w:t>
      </w:r>
    </w:p>
    <w:p w:rsidR="009738F3" w:rsidRDefault="0025623A">
      <w:r>
        <w:lastRenderedPageBreak/>
        <w:t>VdK-Präsidentin Verena Bentele  sagt zu den Plänen: „Die Bundesregierung verkauft die Reform als Stabilisierung der Beiträge. Tatsächlich ist sie ein Sparprogramm auf Kosten der Versicherten. Dafür werden Leistungen begrenzt und Versicherte stärker belaste</w:t>
      </w:r>
      <w:r>
        <w:t>t.“</w:t>
      </w:r>
    </w:p>
    <w:p w:rsidR="009738F3" w:rsidRDefault="0025623A">
      <w:r>
        <w:t>Bentele bewertet einen geplanten zusätzlichen Betrag von 2,5 Prozent für die Mitversicherung der Ehepartnerin oder des Ehepartners kritisch. „Für viele Haushalte bedeutet dies eine spürbare Mehrbelastung. Die Regelung trifft vor allem Menschen mit mitt</w:t>
      </w:r>
      <w:r>
        <w:t>lerem oder geringem Einkommen“, sagt sie.</w:t>
      </w:r>
    </w:p>
    <w:p w:rsidR="009738F3" w:rsidRDefault="0025623A">
      <w:r>
        <w:t xml:space="preserve">Die kostenlose Mitversicherung soll für ausgewählte Gruppen wie Menschen mit pflegebedürftigen Angehörigen, voll erwerbsgeminderte Personen, Altersrentnerinnen und -rentner sowie für Kinder, für Eltern von Kindern </w:t>
      </w:r>
      <w:r>
        <w:t>bis zum siebten Geburtstag und für Kinder mit Behinderung bestehen bleiben. Die bisher geltenden Zuzahlungen bei Medikamenten von mindestens fünf und höchstens zehn Euro sollen auf 7,50 bis 15 Euro angehoben werden. Auch diese Änderung kritisiert Bentele s</w:t>
      </w:r>
      <w:r>
        <w:t>charf: „Das ist nichts anderes als eine Strafgebühr auf Krankheit. Wer sehr wenig hat, überlegt sich künftig zweimal, ob er sich ein Medikament noch leisten kann. Die Folgen sind absehbar: Therapieabbrüche, verschleppte Krankheiten – und am Ende höhere Kos</w:t>
      </w:r>
      <w:r>
        <w:t xml:space="preserve">ten für alle.“ </w:t>
      </w:r>
    </w:p>
    <w:p w:rsidR="009738F3" w:rsidRDefault="0025623A">
      <w:r>
        <w:t>Der VdK begrüßt dagegen die bisherigen Pläne der Bundesregierung, die Beitragsbemessungsgrenze für Versicherte mit guten Einkommen  im kommenden Jahr zusätzlich um 300 Euro anzuheben. Der Verband fordert darüber hinaus eine dauerhafte Erhöh</w:t>
      </w:r>
      <w:r>
        <w:t xml:space="preserve">ung auf die Beitragsbemessungsgrenze in der Rentenversicherung, die derzeit bei 8450 Euro im Monat liegt. Außerdem sollten auch Einkommen aus Vermietungen und Vermögen künftig mitberücksichtigt werden, fordert Bentele. </w:t>
      </w:r>
    </w:p>
    <w:p w:rsidR="009738F3" w:rsidRDefault="0025623A">
      <w:r>
        <w:t>Positiv bewertet der VdK, dass Pläne</w:t>
      </w:r>
      <w:r>
        <w:t xml:space="preserve"> zur Senkung des Krankengelds wohl vom Tisch sind. Problematisch ist jedoch weiterhin die geplante Einführung von Teilkrankschreibungen. Dies entwertet den Patientenschutz, setzt Kranke unter Druck sowie höhlt die Rechte von Arbeitnehmerinnen und -nehmern </w:t>
      </w:r>
      <w:r>
        <w:t xml:space="preserve">aus – so die Einschätzung des VdK. </w:t>
      </w:r>
    </w:p>
    <w:p w:rsidR="009738F3" w:rsidRDefault="0025623A">
      <w:r>
        <w:t xml:space="preserve">Die Regierungspläne, dass Krankenkassen regelmäßige Hautkrebs-Vorsorgeuntersuchungen ab 35 Jahren nicht mehr zahlen sollen, lehnt der VdK auch ab.   </w:t>
      </w:r>
      <w:r>
        <w:rPr>
          <w:b/>
        </w:rPr>
        <w:t>Julia Frediani</w:t>
      </w:r>
    </w:p>
    <w:p w:rsidR="009738F3" w:rsidRDefault="0025623A">
      <w:pPr>
        <w:pStyle w:val="berschrift1"/>
      </w:pPr>
      <w:bookmarkStart w:id="2" w:name="_Toc230066539"/>
      <w:r>
        <w:t>Erhebliche Schwächen im Gesetzentwurf</w:t>
      </w:r>
      <w:bookmarkEnd w:id="2"/>
    </w:p>
    <w:p w:rsidR="009738F3" w:rsidRDefault="0025623A">
      <w:pPr>
        <w:pStyle w:val="Standard-Fett"/>
      </w:pPr>
      <w:r>
        <w:t>Bentele fordert Ko</w:t>
      </w:r>
      <w:r>
        <w:t xml:space="preserve">rrekturen bei der Reform des Behindertengleichstellungsgesetzes </w:t>
      </w:r>
    </w:p>
    <w:p w:rsidR="009738F3" w:rsidRDefault="0025623A">
      <w:pPr>
        <w:pStyle w:val="Vorspann"/>
      </w:pPr>
      <w:r>
        <w:lastRenderedPageBreak/>
        <w:t>Der Bundestag hat sich Anfang Mai in der ersten Lesung mit der  Reform des Behindertengleichstellungsgesetzes (BGG) beschäftigt. Der Sozialverband VdK fordert weiterhin umfassende Korrekturen</w:t>
      </w:r>
      <w:r>
        <w:t xml:space="preserve"> der Pläne.</w:t>
      </w:r>
    </w:p>
    <w:p w:rsidR="009738F3" w:rsidRDefault="0025623A">
      <w:r>
        <w:t>„Der vorliegende Gesetzentwurf weist erhebliche Schwächen auf und wird seinem Anspruch nicht gerecht“, erklärt VdK-Präsidentin Verena Bentele. „Gerade bei den sogenannten angemessenen Vorkehrungen drohen weiterhin massive Lücken beim Diskrimini</w:t>
      </w:r>
      <w:r>
        <w:t>erungsschutz.“</w:t>
      </w:r>
    </w:p>
    <w:p w:rsidR="009738F3" w:rsidRDefault="0025623A">
      <w:r>
        <w:t>Kritisch bewertet der VdK insbesondere, dass bauliche Veränderungen sowie Anpassungen von Gütern und Dienstleistungen für Unternehmen pauschal als unzumutbar gelten sollen – ohne Prüfung des Einzelfalls. „Selbst der Einbau einer Rampe, die e</w:t>
      </w:r>
      <w:r>
        <w:t xml:space="preserve">ine Stufe in einer Bankfiliale ersetzt und schnell sowie kostengünstig gebaut werden kann, würde künftig keiner Einzelfallprüfung mehr unterzogen“, erklärt Bentele. „Genau diese Prüfung ist aber die Grundlage eines wirksamen Diskriminierungsschutzes.“ </w:t>
      </w:r>
    </w:p>
    <w:p w:rsidR="009738F3" w:rsidRDefault="0025623A">
      <w:r>
        <w:t>Auc</w:t>
      </w:r>
      <w:r>
        <w:t>h beim Rechtsschutz sieht der Verband dringenden Nachbesserungsbedarf. Besonders problematisch ist aus Sicht des VdK, dass eine ursprünglich geplante Erleichterung bei der Beweisführung gestrichen wurde: Betroffene müssten demnach Diskriminierung selbst be</w:t>
      </w:r>
      <w:r>
        <w:t xml:space="preserve">weisen – gegenüber Unternehmen, die über weit mehr finanzielle Mittel und juristische Unterstützung verfügen. </w:t>
      </w:r>
    </w:p>
    <w:p w:rsidR="009738F3" w:rsidRDefault="0025623A">
      <w:r>
        <w:t>„Das ist kein technisches Detail, sondern eine zentrale Frage des Zugangs zum Recht. Ohne diese Regelung bleibt rechtliche Gleichstellung im Allt</w:t>
      </w:r>
      <w:r>
        <w:t xml:space="preserve">ag für viele Betroffene kaum durchsetzbar“, betont Bentele. Darüber hinaus kritisiert der VdK, dass Gerichte bei Verstößen künftig nur eine Benachteiligung feststellen können, ohne Anspruch auf Beseitigung oder Unterlassung.   </w:t>
      </w:r>
      <w:r>
        <w:rPr>
          <w:b/>
        </w:rPr>
        <w:t>Robert Manu</w:t>
      </w:r>
    </w:p>
    <w:p w:rsidR="009738F3" w:rsidRDefault="0025623A">
      <w:pPr>
        <w:pStyle w:val="berschrift1"/>
      </w:pPr>
      <w:bookmarkStart w:id="3" w:name="_Toc230066540"/>
      <w:r>
        <w:t>Großer Wunsch nac</w:t>
      </w:r>
      <w:r>
        <w:t>h sozialer Gerechtigkeit</w:t>
      </w:r>
      <w:bookmarkEnd w:id="3"/>
    </w:p>
    <w:p w:rsidR="009738F3" w:rsidRDefault="0025623A">
      <w:pPr>
        <w:pStyle w:val="Standard-Fett"/>
      </w:pPr>
      <w:r>
        <w:t>Sozialstaatsradar 2026: Solidarische Sicherungssysteme statt Privatisierung</w:t>
      </w:r>
    </w:p>
    <w:p w:rsidR="009738F3" w:rsidRDefault="0025623A">
      <w:pPr>
        <w:pStyle w:val="Vorspann"/>
      </w:pPr>
      <w:r>
        <w:t>Die Menschen in Deutschland legen großen Wert auf eine verlässliche soziale Absicherung – bei Krankheit, Pflege und im Alter. Das zeigen aktuelle Umfragen.</w:t>
      </w:r>
      <w:r>
        <w:t xml:space="preserve"> Die Ergebnisse des Sozialstaatsradars des Deutschen Gewerkschaftsbunds (DGB) und der Arbeitskammern decken sich mit den Erkenntnissen des Sozialverbands VdK.</w:t>
      </w:r>
    </w:p>
    <w:p w:rsidR="009738F3" w:rsidRDefault="0025623A">
      <w:r>
        <w:t>Obwohl der Sozialstaat derzeit unter Druck steht und politische Diskussionen zunehmend von Sparma</w:t>
      </w:r>
      <w:r>
        <w:t xml:space="preserve">ßnahmen geprägt sind, spricht sich eine klare Mehrheit der Bevölkerung für seinen Erhalt und Ausbau aus. Viele wünschen sich einen gerechten und verlässlichen Sozialstaat – und sind sogar bereit, dafür mehr zu zahlen. Für den Sozialstaatsradar wurden rund </w:t>
      </w:r>
      <w:r>
        <w:t xml:space="preserve">3000 Personen </w:t>
      </w:r>
      <w:r>
        <w:lastRenderedPageBreak/>
        <w:t xml:space="preserve">im Auftrag der Arbeitnehmerkammer Bremen, der Arbeitskammer des Saarlandes und des DGB befragt. </w:t>
      </w:r>
    </w:p>
    <w:p w:rsidR="009738F3" w:rsidRDefault="0025623A">
      <w:r>
        <w:t>Ein zentrales Ergebnis: Fast 80 Prozent der Befragten befürworten die Einführung einer Bürgerversicherung. Dahinter steht laut Experten das verbr</w:t>
      </w:r>
      <w:r>
        <w:t>eitete Gefühl einer Zwei-Klassen-Medizin, bei der gesetzlich Versicherte benachteiligt sind. Eine einheitliche Krankenversicherung, in die alle einzahlen, gilt vielen als Schritt hin zu mehr Gerechtigkeit.</w:t>
      </w:r>
    </w:p>
    <w:p w:rsidR="009738F3" w:rsidRDefault="0025623A">
      <w:r>
        <w:t>Auch bei der Pflegeversicherung zeigt sich ein ähn</w:t>
      </w:r>
      <w:r>
        <w:t>liches Bild. Bereits eine Umfrage aus dem Jahr 2024, durchgeführt vom Meinungsforschungsinstitut Civey im Auftrag des VdK, ergab, dass 77 Prozent eine Zusammenlegung von gesetzlicher und privater Pflegeversicherung unterstützen.</w:t>
      </w:r>
    </w:p>
    <w:p w:rsidR="009738F3" w:rsidRDefault="0025623A">
      <w:pPr>
        <w:pStyle w:val="Zwischentitel"/>
      </w:pPr>
      <w:r>
        <w:t>Höhere Beiträge</w:t>
      </w:r>
    </w:p>
    <w:p w:rsidR="009738F3" w:rsidRDefault="0025623A">
      <w:r>
        <w:t xml:space="preserve">Darüber </w:t>
      </w:r>
      <w:r>
        <w:t xml:space="preserve">hinaus wünschen sich viele Menschen eine spürbare Entlastung bei den Pflegekosten. Laut Sozialstaatsradar sprechen sich mehr als 60 Prozent dafür aus, Eigenanteile zu begrenzen oder ganz abzuschaffen. Modelle wie eine verpflichtende private Zusatzvorsorge </w:t>
      </w:r>
      <w:r>
        <w:t>finden nur geringe Zustimmung. Die Mehrheit plädiert für eine solidarische Finanzierung, bei der die Kosten gemeinsam getragen werden. Auch beim Thema Rente zeigt sich eine bemerkenswerte Weitsicht der Befragten. Rund 75 Prozent geben an, höhere Beiträge z</w:t>
      </w:r>
      <w:r>
        <w:t>ahlen zu wollen, wenn dadurch stabile oder bessere Renten garantiert werden. Diese Haltung zieht sich durch alle Altersgruppen und zeigt das Vertrauen in die gesetzliche Rente.</w:t>
      </w:r>
    </w:p>
    <w:p w:rsidR="009738F3" w:rsidRDefault="0025623A">
      <w:r>
        <w:t>Insgesamt zeichnet sich ein klares Bild: Die Bevölkerung steht hinter einem sta</w:t>
      </w:r>
      <w:r>
        <w:t>rken Sozialstaat – und ist bereit, ihn aktiv mitzutragen. Wie wichtig den Menschen eine gute soziale Absicherung ist, hat eine repräsentative Umfrage des Sozialstaatsbündnisses ergeben, dem der VdK mit 13 weiteren zivilgesellschaftlichen Organisationen ang</w:t>
      </w:r>
      <w:r>
        <w:t xml:space="preserve">ehört: 79 Prozent sind demnach der Meinung, dass ein leistungsfähiger Sozialstaat den Zusammenhalt in der Gesellschaft verbessert.  </w:t>
      </w:r>
      <w:r>
        <w:rPr>
          <w:b/>
        </w:rPr>
        <w:t>Jörg Ciszewski</w:t>
      </w:r>
    </w:p>
    <w:p w:rsidR="009738F3" w:rsidRDefault="0025623A">
      <w:pPr>
        <w:pStyle w:val="berschrift1"/>
      </w:pPr>
      <w:bookmarkStart w:id="4" w:name="_Toc230066541"/>
      <w:r>
        <w:t>Gemeinsam engagiert</w:t>
      </w:r>
      <w:bookmarkEnd w:id="4"/>
    </w:p>
    <w:p w:rsidR="009738F3" w:rsidRDefault="0025623A">
      <w:pPr>
        <w:pStyle w:val="Standard-Fett"/>
      </w:pPr>
      <w:r>
        <w:t>Aktionen zum Geburtstag des Grundgesetzes</w:t>
      </w:r>
    </w:p>
    <w:p w:rsidR="009738F3" w:rsidRDefault="0025623A">
      <w:pPr>
        <w:pStyle w:val="Vorspann"/>
      </w:pPr>
      <w:r>
        <w:t>Bundespräsident Frank-Walter Steinmeier hat die</w:t>
      </w:r>
      <w:r>
        <w:t xml:space="preserve"> Initiative „Der Ehrentag“ mit einer Pressekonferenz in Berlin gestartet. Unter den rund 60 prominenten Botschafterinnen und Botschaftern ist auch VdK-Präsidentin Verena Bentele. </w:t>
      </w:r>
    </w:p>
    <w:p w:rsidR="009738F3" w:rsidRDefault="0025623A">
      <w:r>
        <w:t>Der Geburtstag des Grundgesetzes am 23. Mai stand unter dem Motto „Der Ehren</w:t>
      </w:r>
      <w:r>
        <w:t xml:space="preserve">tag. Für dich. Für mich. Für alle.“ Begleitet wurde er von zahlreichen bundesweiten Mitmachaktionen, bei denen sich Menschen begegnen und gemeinsam engagieren konnten. </w:t>
      </w:r>
    </w:p>
    <w:p w:rsidR="009738F3" w:rsidRDefault="0025623A">
      <w:r>
        <w:t>Auf der Pressekonferenz kündigte Bundespräsident Steinmeier einen Monat vor dem Aktions</w:t>
      </w:r>
      <w:r>
        <w:t xml:space="preserve">tag an, den Geburtstag des Grundgesetzes – als Grundlage der Demokratie – stärker ins öffentliche </w:t>
      </w:r>
      <w:r>
        <w:lastRenderedPageBreak/>
        <w:t>Bewusstsein rücken zu wollen. Der Tag solle einen besonderen Moment schaffen, „an dem wir uns als Gesellschaft bewusst werden, dass es in der Demokratie auf j</w:t>
      </w:r>
      <w:r>
        <w:t>ede und jeden Einzelnen von uns ankommt.“ Neben VdK-Präsidentin Verena Bentele hatte er auch Fußball-Weltmeister Philipp Lahm, die Schauspielerin Esther Schweins sowie die Mitbegründerin von HateAid, Anna-Lena von Hodenberg, neben sich auf das Podium gelad</w:t>
      </w:r>
      <w:r>
        <w:t xml:space="preserve">en. </w:t>
      </w:r>
    </w:p>
    <w:p w:rsidR="009738F3" w:rsidRDefault="0025623A">
      <w:r>
        <w:t>Bentele wertete den Ehrentag als wichtiges Signal: „Engagement gehört in die Mitte der Gesellschaft. Ohne Ehrenamt wäre es hierzulande kälter, einsamer und ungerechter.“ Trotz ihrer enormen Leistung würden Ehrenamtliche nicht ausreichend gewürdigt. „S</w:t>
      </w:r>
      <w:r>
        <w:t xml:space="preserve">ie brauchen gute Rahmenbedingungen“, so Bentele. Der VdK setzt sich dafür ein, das Ehrenamt als Staatsziel im Grundgesetz zu verankern. </w:t>
      </w:r>
      <w:r>
        <w:rPr>
          <w:b/>
        </w:rPr>
        <w:t>ken</w:t>
      </w:r>
    </w:p>
    <w:p w:rsidR="009738F3" w:rsidRDefault="0025623A">
      <w:pPr>
        <w:pStyle w:val="berschrift1"/>
      </w:pPr>
      <w:bookmarkStart w:id="5" w:name="_Toc230066542"/>
      <w:r>
        <w:t>Rente stärken statt kürzen</w:t>
      </w:r>
      <w:bookmarkEnd w:id="5"/>
    </w:p>
    <w:p w:rsidR="009738F3" w:rsidRDefault="0025623A">
      <w:pPr>
        <w:pStyle w:val="Standard-Fett"/>
      </w:pPr>
      <w:r>
        <w:t>Mehr sozialversicherungspflichtige Beschäftigung entlastet Alt und Jung</w:t>
      </w:r>
    </w:p>
    <w:p w:rsidR="009738F3" w:rsidRDefault="0025623A">
      <w:pPr>
        <w:pStyle w:val="Vorspann"/>
      </w:pPr>
      <w:r>
        <w:t>Einschnitte in de</w:t>
      </w:r>
      <w:r>
        <w:t xml:space="preserve">r gesetzlichen Rentenversicherung sorgen nicht für mehr Generationengerechtigkeit. Eine aktuelle Studie zeigt: Maßnahmen wie ein höheres Rentenalter und ein sinkendes Rentenniveau treffen ältere und jüngere Versicherte oft gleichermaßen. </w:t>
      </w:r>
    </w:p>
    <w:p w:rsidR="009738F3" w:rsidRDefault="0025623A">
      <w:r>
        <w:t>Längere Lebensarb</w:t>
      </w:r>
      <w:r>
        <w:t>eitszeiten und niedrigere Renten sollen vor allem die Jüngeren entlasten. Doch eine Analyse des Wirtschafts- und Sozialwissenschaftlichen Instituts (WSI) der Hans-Böckler-Stiftung zeigt, dass dadurch für sie keine klaren Vorteile entstehen, sondern sogar N</w:t>
      </w:r>
      <w:r>
        <w:t>achteile.</w:t>
      </w:r>
    </w:p>
    <w:p w:rsidR="009738F3" w:rsidRDefault="0025623A">
      <w:r>
        <w:t>Gemeinsam mit dem Institut für Makroökonomie und Konjunkturforschung (IMK) und der Hochschule für Technik und Wirtschaft (HTW) Berlin haben die Forschenden berechnet, dass solche Reformen die individuelle „Rendite“ – also das Verhältnis von Beitr</w:t>
      </w:r>
      <w:r>
        <w:t>ägen zu späteren Renten – für jüngere Jahrgänge verschlechtern können.</w:t>
      </w:r>
    </w:p>
    <w:p w:rsidR="009738F3" w:rsidRDefault="0025623A">
      <w:pPr>
        <w:pStyle w:val="Zwischentitel"/>
      </w:pPr>
      <w:r>
        <w:t>Weniger Rendite</w:t>
      </w:r>
    </w:p>
    <w:p w:rsidR="009738F3" w:rsidRDefault="0025623A">
      <w:r>
        <w:t>Eine Anhebung der Regelaltersgrenze auf 68 Jahre bis zum Jahr 2056 könnte laut Studie zwar den Anstieg von Beitragssatz und Bundeszuschuss bremsen. Für alle, die ab 1970</w:t>
      </w:r>
      <w:r>
        <w:t xml:space="preserve"> geboren wurden, würde sich aber voraussichtlich eine geringere Rendite ergeben – besonders für den Jahrgang 1980. Auch später Geborene wären betroffen. </w:t>
      </w:r>
    </w:p>
    <w:p w:rsidR="009738F3" w:rsidRDefault="0025623A">
      <w:r>
        <w:t>Eine Absenkung des Rentenniveaus würde den Bundeszuschuss begrenzen, gleichzeitig jedoch nahezu alle J</w:t>
      </w:r>
      <w:r>
        <w:t>ahrgänge ab etwa 1950 schlechterstellen. Die Jüngsten wären dabei ähnlich stark betroffen wie die ab Mitte der 1960er-Jahre Geborenen, so die Fachleute.</w:t>
      </w:r>
    </w:p>
    <w:p w:rsidR="009738F3" w:rsidRDefault="0025623A">
      <w:r>
        <w:lastRenderedPageBreak/>
        <w:t>Die Studie zeigt zudem: Maßnahmen, die zu mehr Erwerbstätigkeit führen, stärken das Rentensystem insges</w:t>
      </w:r>
      <w:r>
        <w:t>amt – für Jüngere und Ältere. Zu den Hebeln zählen eine bessere Arbeitsmarktintegration von zugewanderten Menschen sowie eine stärkere Beteiligung bisher nicht erwerbstätiger Personen.</w:t>
      </w:r>
    </w:p>
    <w:p w:rsidR="009738F3" w:rsidRDefault="0025623A">
      <w:r>
        <w:t>Zu ähnlichen Ergebnissen kommen auch der Sozialverband VdK und die Nich</w:t>
      </w:r>
      <w:r>
        <w:t xml:space="preserve">tregierungsorganisation Fiscal Future. Sie schlagen vor, die sozialversicherungspflichtige Beschäftigung gezielt zu erhöhen, statt die gesetzliche Rente zu schwächen. </w:t>
      </w:r>
    </w:p>
    <w:p w:rsidR="009738F3" w:rsidRDefault="0025623A">
      <w:r>
        <w:t>Familienfreundliche Arbeitszeiten, gute Kinderbetreuung und die partnerschaftliche Verte</w:t>
      </w:r>
      <w:r>
        <w:t>ilung von Sorgearbeit würden vielen Frauen ermöglichen, mehr zu arbeiten. Ältere Beschäftigte könnten länger berufstätig sein, wenn sie Weiterbildung, Gesundheitsförderung und flexible Arbeitszeitmodelle in Anspruch nehmen können. Auch höhere Löhne, eine s</w:t>
      </w:r>
      <w:r>
        <w:t xml:space="preserve">tärkere Tarifbindung sowie die bessere Integration von Menschen mit Behinderung oder Migrationshintergrund in den Arbeitsmarkt können die gesetzliche Rente weiter stabilisieren. </w:t>
      </w:r>
      <w:r>
        <w:rPr>
          <w:b/>
        </w:rPr>
        <w:t>Kristin Enge</w:t>
      </w:r>
    </w:p>
    <w:p w:rsidR="009738F3" w:rsidRDefault="0025623A">
      <w:r>
        <w:t>Kommentar</w:t>
      </w:r>
    </w:p>
    <w:p w:rsidR="009738F3" w:rsidRDefault="0025623A">
      <w:pPr>
        <w:pStyle w:val="berschrift1"/>
      </w:pPr>
      <w:bookmarkStart w:id="6" w:name="_Toc230066543"/>
      <w:r>
        <w:t>Halb krank bei der Arbeit</w:t>
      </w:r>
      <w:bookmarkEnd w:id="6"/>
    </w:p>
    <w:p w:rsidR="009738F3" w:rsidRDefault="0025623A">
      <w:r>
        <w:t>Stellen Sie sich vor, dass Si</w:t>
      </w:r>
      <w:r>
        <w:t xml:space="preserve">e gerade frisch operiert worden sind – ein Sehnenriss in der linken Schulter. Doch anstatt mit Ihnen über den Reha-Plan zu reden, wird im Arztgespräch mit Ihnen diskutiert, wie schnell Sie wieder teilweise arbeiten können. 75 Prozent, 50 Prozent oder doch </w:t>
      </w:r>
      <w:r>
        <w:t>nur 25 Prozent? Es sei schließlich „nur“ die linke Schulter, Sie als Rechtshänder könnten doch nach der Physiotherapie vielleicht nebenbei ein paar Mails  bearbeiten oder ein paar Telefonate führen. Arbeiten Sie an der Supermarktkasse oder auf dem Bau, ist</w:t>
      </w:r>
      <w:r>
        <w:t xml:space="preserve"> die Einsicht der Orthopädin möglicherweise größer, dass Sie mit einem geschienten Arm keine große Hilfe an ihrem Arbeitsplatz sind, und Sie werden komplett krank-geschrieben. Da auch das Krankengeld abgesenkt werden soll, sind Sie vielleicht froh, dass Si</w:t>
      </w:r>
      <w:r>
        <w:t>e schneller wieder zurück in den Job können – egal, ob Ihnen das gesundheitlich guttut oder nicht.</w:t>
      </w:r>
    </w:p>
    <w:p w:rsidR="009738F3" w:rsidRDefault="0025623A">
      <w:r>
        <w:t>Wenn die Bundesregierung ihre Pläne für eine Teilkrankschreibung wahrmachen sollte, dann könnten solche Szenarien Wirklichkeit werden. Für Arbeitgeberinnen u</w:t>
      </w:r>
      <w:r>
        <w:t>nd -geber erscheint dieses Modell vielleicht reizvoll zu sein, für die Beschäftigten birgt es viele Risiken. Von einer freiwilligen Entscheidung, wieder mit einer halb auskurierten Verletzung zu arbeiten, kann nur bei den wenigsten die Rede sein. Gerade in</w:t>
      </w:r>
      <w:r>
        <w:t xml:space="preserve"> Branchen mit hohem Personaldruck besteht die Gefahr, dass sich Beschäftigte zu früh zu viel zumuten. </w:t>
      </w:r>
    </w:p>
    <w:p w:rsidR="009738F3" w:rsidRDefault="0025623A">
      <w:r>
        <w:t>Am Ende profitiert niemand, wenn das Sprechstundenzimmer zum Basar wird. Gesundheit darf keine Verhandlungsmasse sein. Entscheidungen über Krankschreibun</w:t>
      </w:r>
      <w:r>
        <w:t xml:space="preserve">gen müssen sich am Ziel der vollständigen Genesung orientieren – nicht an Kostenerwägungen oder kurzfristigen Interessen. </w:t>
      </w:r>
    </w:p>
    <w:p w:rsidR="009738F3" w:rsidRDefault="0025623A">
      <w:r>
        <w:t xml:space="preserve">Auch die Absenkung des Krankengeldes darf nicht kommen, denn sie würde den Menschen Druck machen, krank zurück in den Job zu kommen. </w:t>
      </w:r>
      <w:r>
        <w:t xml:space="preserve">Schon heute können Betriebe mit dem </w:t>
      </w:r>
      <w:r>
        <w:lastRenderedPageBreak/>
        <w:t>Betrieblichen Eingliederungsmanagement (BEM) gemeinsam mit den Beschäftigten eine Lösung zum Wiedereinstieg in den Job finden, die für die Gesundheit und den Arbeitsplatz passt.</w:t>
      </w:r>
    </w:p>
    <w:p w:rsidR="009738F3" w:rsidRDefault="0025623A">
      <w:pPr>
        <w:pStyle w:val="berschrift1"/>
      </w:pPr>
      <w:bookmarkStart w:id="7" w:name="_Toc230066544"/>
      <w:r>
        <w:t>Wandel braucht sozialen Ausgleich</w:t>
      </w:r>
      <w:bookmarkEnd w:id="7"/>
    </w:p>
    <w:p w:rsidR="009738F3" w:rsidRDefault="0025623A">
      <w:pPr>
        <w:pStyle w:val="Standard-Fett"/>
      </w:pPr>
      <w:r>
        <w:t xml:space="preserve">Nur mit </w:t>
      </w:r>
      <w:r>
        <w:t>zielgerichteter Förderung und einem Klimageld gelingt in Deutschland der Übergang zur Klimaneutralität</w:t>
      </w:r>
    </w:p>
    <w:p w:rsidR="009738F3" w:rsidRDefault="0025623A">
      <w:pPr>
        <w:pStyle w:val="Vorspann"/>
      </w:pPr>
      <w:r>
        <w:t>VdK-Präsidentin Verena Bentele und der Präsident des Umweltbundesamtes, Dirk Messner, haben sich zum Gespräch in der VdK-Bundesgeschäftsstelle in Berlin getroffen. Sie tauschten sich zu den Folgen des Klimawandels aus und darüber, wie sozial gerechter Klim</w:t>
      </w:r>
      <w:r>
        <w:t xml:space="preserve">aschutz gut gelingen kann. </w:t>
      </w:r>
    </w:p>
    <w:p w:rsidR="009738F3" w:rsidRDefault="0025623A">
      <w:r>
        <w:rPr>
          <w:b/>
        </w:rPr>
        <w:t>Verena Bentele:</w:t>
      </w:r>
      <w:r>
        <w:t xml:space="preserve"> Angefangen hat alles damit, dass Sie mich ins Umweltbundesamt eingeladen haben. Das war ein spannender Austausch. Kommen wir zu meiner ersten Frage: Ich komme vom Bodensee. Da wachsen derzeit vor allem Äpfel und Hopfen auf dem Hof meines Bruders. Jetzt fr</w:t>
      </w:r>
      <w:r>
        <w:t xml:space="preserve">age ich mich, wachsen dort irgendwann Biozitronen? </w:t>
      </w:r>
    </w:p>
    <w:p w:rsidR="009738F3" w:rsidRDefault="0025623A">
      <w:r>
        <w:rPr>
          <w:b/>
        </w:rPr>
        <w:t>Dirk Messner:</w:t>
      </w:r>
      <w:r>
        <w:t xml:space="preserve"> Das kann durchaus sein. Wir beobachten bereits heute, dass sich die Lebensräume von Pflanzen und Tieren in Folge des Klimawandels geografisch verschieben. Von daher ist das eine durchaus rea</w:t>
      </w:r>
      <w:r>
        <w:t xml:space="preserve">listische Perspektive. </w:t>
      </w:r>
    </w:p>
    <w:p w:rsidR="009738F3" w:rsidRDefault="0025623A">
      <w:r>
        <w:rPr>
          <w:b/>
        </w:rPr>
        <w:t>Bentele:</w:t>
      </w:r>
      <w:r>
        <w:t xml:space="preserve"> Wir haben im VdK über 2,3 Millionen Mitglieder. Natürlich werden auch diese immer mehr und immer wieder damit konfrontiert, welche umweltpolitischen Maßnahmen ergriffen werden. Sie kriegen aber auch die Konsequenzen des Kli</w:t>
      </w:r>
      <w:r>
        <w:t>mawandels zu spüren.</w:t>
      </w:r>
    </w:p>
    <w:p w:rsidR="009738F3" w:rsidRDefault="0025623A">
      <w:r>
        <w:rPr>
          <w:b/>
        </w:rPr>
        <w:t>Messner:</w:t>
      </w:r>
      <w:r>
        <w:t xml:space="preserve"> Hitze ist ein wichtiges, großes Thema, das insbesondere ältere und kränkere Menschen betrifft. Wenn sich die Erde um zwei Grad erwärmt, wird es in Berlin zukünftig so warm sein wie in Madrid in heißen Sommern. Ein zweites Them</w:t>
      </w:r>
      <w:r>
        <w:t xml:space="preserve">a haben wir alle gesehen, als eine Flutkatastrophe im Ahrtal dazu geführt hat, dass ein ganzer Landstrich verwüstet worden ist. In einer Nacht sind Schäden von 40 Milliarden Euro entstanden und mehr als 200 Menschen umgekommen. Es gibt aber auch Probleme, </w:t>
      </w:r>
      <w:r>
        <w:t>die wir nicht unmittelbar sehen. Bei einem Temperaturanstieg um zwei Grad würde der Grönland-Eisschild vollständig abschmelzen, wodurch der Meeresspiegel langfristig um etwa sieben Meter ansteigt. Weltweit könnten große Landstriche austrocknen, etwa der Am</w:t>
      </w:r>
      <w:r>
        <w:t xml:space="preserve">azonas-Regenwald, mit drastischen Folgen für die Landwirtschaft, Ernährung und Wasserversorgung. </w:t>
      </w:r>
    </w:p>
    <w:p w:rsidR="009738F3" w:rsidRDefault="0025623A">
      <w:r>
        <w:rPr>
          <w:b/>
        </w:rPr>
        <w:t>Bentele:</w:t>
      </w:r>
      <w:r>
        <w:t xml:space="preserve"> Die Konflikte sind oft schwer zu vermitteln und auch, wie wir sie gut lösen können, weil sich viele Menschen von Maßnahmen benachteiligt oder von der</w:t>
      </w:r>
      <w:r>
        <w:t xml:space="preserve"> Förderpolitik nicht ausreichend mitgenommen fühlen. Der Gebäudesektor ist verantwortlich für 20 Prozent der Emissionen. Natürlich spüren wir es alle, wenn wir hohe Energiekosten zu tragen haben oder in schlecht gedämmten Wohnungen leben. Aber es ist insbe</w:t>
      </w:r>
      <w:r>
        <w:t>sondere für ärmere Menschen schwer. Wie schaffen wir es, alle Menschen gut mitzunehmen? Bis 2045 wollen wir klimaneutral werden. Wir haben den Emissionshandel, der aber für viele Menschen höhere Kosten bedeutet.</w:t>
      </w:r>
    </w:p>
    <w:p w:rsidR="009738F3" w:rsidRDefault="0025623A">
      <w:r>
        <w:rPr>
          <w:b/>
        </w:rPr>
        <w:lastRenderedPageBreak/>
        <w:t>Messner:</w:t>
      </w:r>
      <w:r>
        <w:t xml:space="preserve"> Der Emissionshandel ist aus unserer</w:t>
      </w:r>
      <w:r>
        <w:t xml:space="preserve"> Perspektive nicht das einzige, aber das wirksamste Instrument im Werkzeugkasten der Klimapolitik. Die entscheidende Frage ist, wie die Kosten verteilt werden, die durch den CO2-Preis entstehen. Der Mechanismus, über den man das tun kann, ist eigentlich zi</w:t>
      </w:r>
      <w:r>
        <w:t xml:space="preserve">emlich einfach. Wir nehmen als Staat durch den Emissionshandel entsprechende Gebühren ein. Ein beachtlicher Teil dessen, was da an Einnahmen generiert wird, könnte gerade an die unteren Einkommensgruppen direkt wieder ausgeschüttet werden. </w:t>
      </w:r>
    </w:p>
    <w:p w:rsidR="009738F3" w:rsidRDefault="0025623A">
      <w:r>
        <w:rPr>
          <w:b/>
        </w:rPr>
        <w:t>Bentele:</w:t>
      </w:r>
      <w:r>
        <w:t xml:space="preserve"> Das Pr</w:t>
      </w:r>
      <w:r>
        <w:t>oblem ist, dass wir in der letzten Legislaturperiode kein Klimageld bekommen haben. Aktuell fehlt der Auszahlmechanismus, dass die Menschen über die Steuererklärung beispielsweise Geld zurückerstattet bekommen als Ausgleich für höhere Preise für Heizen, Be</w:t>
      </w:r>
      <w:r>
        <w:t>nzin oder Diesel und andere Güter des täglichen Bedarfs, die durch den Emissionshandel teurer werden. Andere Entlastungswirkungen sehen wir kaum. Im Gebäudeenergiegesetz hatten wir eine ganz gute Förderung. Aber da wird man sehen, was davon mit dem neuen G</w:t>
      </w:r>
      <w:r>
        <w:t>ebäudemodernisierungsgesetz übrigbleibt. Für viele andere Bereiche gibt es keinen Refinanzierungsmechanismus. Menschen mit mehr Geld haben viel mehr Optionen, das auszugleichen als Personen mit wenig Geld. Wir müssen meines Erachtens gerade für diese Grupp</w:t>
      </w:r>
      <w:r>
        <w:t>e Lösungen finden.</w:t>
      </w:r>
    </w:p>
    <w:p w:rsidR="009738F3" w:rsidRDefault="0025623A">
      <w:r>
        <w:rPr>
          <w:b/>
        </w:rPr>
        <w:t>Messner:</w:t>
      </w:r>
      <w:r>
        <w:t xml:space="preserve"> Wir müssen dafür sorgen, dass ein signifikanter Teil der  Einnahmen aus der CO2-Bepreisung an Menschen mit geringem Einkommen zurückfließt. Wir sehen hier zwei Ansatzpunkte: Das erste Element, das haben Sie eben genannt, wäre ei</w:t>
      </w:r>
      <w:r>
        <w:t>n einkommensgestaffeltes Klimageld. Wir haben uns auch angeschaut, welche Gruppen besonders von CO2-Preissteigerungen betroffen wären. Deswegen schlagen wie vor, Förderprogramme für die Sanierung der eine Million energetisch am schlechtesten ausgestatteten</w:t>
      </w:r>
      <w:r>
        <w:t xml:space="preserve"> Gebäude aufzusetzen. Das käme den ärmsten Haushalten in Deutschland zugute. Eine solche Förderung wäre einerseits sozial wirksam, weil sie die sozial Schwächsten unterstützt, und andererseits ein großer Beitrag zum Klimaschutz.</w:t>
      </w:r>
    </w:p>
    <w:p w:rsidR="009738F3" w:rsidRDefault="0025623A">
      <w:r>
        <w:rPr>
          <w:b/>
        </w:rPr>
        <w:t>Bentele:</w:t>
      </w:r>
      <w:r>
        <w:t xml:space="preserve"> Dann müssen wir be</w:t>
      </w:r>
      <w:r>
        <w:t>ide  aktiv bleiben – auch ein Stück weit gemeinsam – und uns für ein Klimageld und die Beachtung der sozialen Dimension in allen klimapolitischen Maßnahmen einsetzen. Herzlichen Dank für das Gespräch.</w:t>
      </w:r>
    </w:p>
    <w:p w:rsidR="009738F3" w:rsidRDefault="0025623A">
      <w:r>
        <w:rPr>
          <w:b/>
        </w:rPr>
        <w:t>Redaktion: Kristin Enge</w:t>
      </w:r>
    </w:p>
    <w:p w:rsidR="009738F3" w:rsidRDefault="009738F3"/>
    <w:p w:rsidR="009738F3" w:rsidRDefault="0025623A">
      <w:r>
        <w:rPr>
          <w:i/>
        </w:rPr>
        <w:t>Das Gespräch ist unter dem Lin</w:t>
      </w:r>
      <w:r>
        <w:rPr>
          <w:i/>
        </w:rPr>
        <w:t>k  www.vdk.de/klimawandel zum Anschauen verfügbar.</w:t>
      </w:r>
    </w:p>
    <w:p w:rsidR="009738F3" w:rsidRDefault="0025623A">
      <w:r>
        <w:t>Zu den Personen</w:t>
      </w:r>
    </w:p>
    <w:p w:rsidR="009738F3" w:rsidRDefault="0025623A">
      <w:r>
        <w:t>VdK-Präsidentin Verena Bentele ist auf einem Bio-Bauernhof in Baden-Württemberg aufgewachsen. Dort hat sie schon früh erlebt, wie wichtig ihrer Familie der Erhalt der natürlichen Lebensgrun</w:t>
      </w:r>
      <w:r>
        <w:t>dlagen war und ist. Der Blick lag dabei nicht nur auf heutigen, sondern auch auf zukünftigen Generationen.</w:t>
      </w:r>
    </w:p>
    <w:p w:rsidR="009738F3" w:rsidRDefault="0025623A">
      <w:r>
        <w:t>Der Politikwissenschaftler und Nachhaltigkeitsforscher Dirk Messner hält Klimaschutz für entscheidend, weil er die Sicherheit, die Gesundheit und den</w:t>
      </w:r>
      <w:r>
        <w:t xml:space="preserve"> Wohlstand der Kinder und Enkel bewahrt. Klimaschutz bedeutet für ihn in erster Linie Zukunftsfähigkeit. </w:t>
      </w:r>
    </w:p>
    <w:p w:rsidR="009738F3" w:rsidRDefault="0025623A">
      <w:r>
        <w:lastRenderedPageBreak/>
        <w:t>Er leitet das Umweltbundesamt seit sechs Jahren. Zu dessen vier großen Aufgabenbereichen zählen Forschung, Politikberatung, Umsetzung bestimmter Umwel</w:t>
      </w:r>
      <w:r>
        <w:t xml:space="preserve">tgesetze und die Information der Gesellschaft zu Umweltthemen. </w:t>
      </w:r>
    </w:p>
    <w:p w:rsidR="009738F3" w:rsidRDefault="0025623A">
      <w:r>
        <w:t>Bentele und Messner kamen zum ersten Mal im Dezember 2025 ins Gespräch, als das Umweltbundesamt die VdK-Präsidentin eingeladen hatte. Ihr Anliegen: Sozialpolitik und Klimapolitik zusammen denk</w:t>
      </w:r>
      <w:r>
        <w:t>en. Beide sind überzeugt, dass Maßnahmen zum Schutz des Klimas sozial gerecht gestaltet werden müssen. Er kann nur gelingen, wenn alle Menschen mitgenommen werden.</w:t>
      </w:r>
    </w:p>
    <w:p w:rsidR="009738F3" w:rsidRDefault="0025623A">
      <w:pPr>
        <w:pStyle w:val="berschrift1"/>
      </w:pPr>
      <w:bookmarkStart w:id="8" w:name="_Toc230066545"/>
      <w:r>
        <w:t>Mehr Hitze, mehr Risiken, mehr Verantwortung</w:t>
      </w:r>
      <w:bookmarkEnd w:id="8"/>
    </w:p>
    <w:p w:rsidR="009738F3" w:rsidRDefault="0025623A">
      <w:pPr>
        <w:pStyle w:val="Standard-Fett"/>
      </w:pPr>
      <w:r>
        <w:t>Der Klimawandel belastet besonders ältere und g</w:t>
      </w:r>
      <w:r>
        <w:t>esundheitlich eingeschränkte Menschen – VdK kämpft für faire Lösungen</w:t>
      </w:r>
    </w:p>
    <w:p w:rsidR="009738F3" w:rsidRDefault="0025623A">
      <w:pPr>
        <w:pStyle w:val="Vorspann"/>
      </w:pPr>
      <w:r>
        <w:t>Der Klimawandel ist längst Realität – und auch eine große soziale Herausforderung. Deshalb rückt der Sozialverband VdK das Thema stärker in den Fokus.</w:t>
      </w:r>
    </w:p>
    <w:p w:rsidR="009738F3" w:rsidRDefault="0025623A">
      <w:r>
        <w:t xml:space="preserve">Europa ist weltweit der Kontinent, </w:t>
      </w:r>
      <w:r>
        <w:t>der sich am schnellsten erwärmt. Das ist das zentrale Ergebnis des Copernicus Klimaberichts 2025, der kürzlich veröffentlicht wurde. Hitze, Stürme, Hochwasser, niedrige Flusspegel, Waldbrände, Gletscherschmelze und die Erwärmung der Meere setzen Gesellscha</w:t>
      </w:r>
      <w:r>
        <w:t>ften und Wirtschaften auf dem europäischen Kontinent zunehmend unter Druck.</w:t>
      </w:r>
    </w:p>
    <w:p w:rsidR="009738F3" w:rsidRDefault="0025623A">
      <w:r>
        <w:t>Die Forschenden der Weltwetterorganisation (WMO) und des Europäischen Zentrums für mittelfristige Wettervorhersage (EZMW), die den Bericht erarbeitet haben, zeichnen ein klares Bil</w:t>
      </w:r>
      <w:r>
        <w:t>d: Das Klimasystem gerät aus dem Gleichgewicht. „Die Auswirkungen sind bereits gravierend“, stellt Florian Pappenberger, Generaldirektor des EZMW fest.</w:t>
      </w:r>
    </w:p>
    <w:p w:rsidR="009738F3" w:rsidRDefault="0025623A">
      <w:r>
        <w:t>Auch in Deutschland nehmen die Menschen den Klimawandel wahr. Dirk Messner, Präsident des Umweltbundesam</w:t>
      </w:r>
      <w:r>
        <w:t>tes, berichtet von einem wachsenden Informationsbedürfnis: Besonders im Sommer wenden sich Medien sowie Bürgerinnen und Bürger verstärkt an seine Behörde, fragen nach Einschätzungen und Lösungen. Viele Menschen fühlen sich verunsichert und wünschen sich Or</w:t>
      </w:r>
      <w:r>
        <w:t>ientierung.</w:t>
      </w:r>
    </w:p>
    <w:p w:rsidR="009738F3" w:rsidRDefault="0025623A">
      <w:pPr>
        <w:pStyle w:val="Zwischentitel"/>
      </w:pPr>
      <w:r>
        <w:t>Neue Aufgabe</w:t>
      </w:r>
    </w:p>
    <w:p w:rsidR="009738F3" w:rsidRDefault="0025623A">
      <w:r>
        <w:t xml:space="preserve">Angesichts dieser Entwicklungen sieht sich auch der VdK vor einer wichtigen Aufgabe. Zwar bewerten aktuell nur 18 Prozent der Mitglieder den Klimawandel und dessen soziale </w:t>
      </w:r>
      <w:r>
        <w:lastRenderedPageBreak/>
        <w:t>Herausforderungen als zentrales Thema der Verbandsarbeit. G</w:t>
      </w:r>
      <w:r>
        <w:t>leichzeitig ist aber klar: Die Folgen der Klimakrise werden sich weiter verschärfen und besonders verletzliche Gruppen treffen.</w:t>
      </w:r>
    </w:p>
    <w:p w:rsidR="009738F3" w:rsidRDefault="0025623A">
      <w:r>
        <w:t>Dazu zählen ältere Menschen und Menschen mit Behinderungen oder chronischen Erkrankungen. Sie brauchen den speziellen Schutz der</w:t>
      </w:r>
      <w:r>
        <w:t xml:space="preserve"> Gesellschaft. Gleichzeitig müssen Klimaschutzmaßnahmen sozial gerecht sein. „Die, die wenig haben, brauchen die stärkste Unterstützung. Mieterinnen und Mieter, ältere selbstnutzende Eigentümer, Rentnerinnen und Rentner oder auch Familien mit wenig Geld dü</w:t>
      </w:r>
      <w:r>
        <w:t>rfen nicht zu stark belastet werden“, sagt VdK-Präsidentin Verena Bentele.</w:t>
      </w:r>
    </w:p>
    <w:p w:rsidR="009738F3" w:rsidRDefault="0025623A">
      <w:r>
        <w:t>Der VdK will stärker zum Thema informieren und konkrete Lösungen aufzeigen, wie sich soziale und ökologische Interessen verbinden lassen. Bentele ist überzeugt: „Sozial gerechter Kl</w:t>
      </w:r>
      <w:r>
        <w:t xml:space="preserve">imaschutz ist kein Widerspruch, sondern ein Garant für mehr Akzeptanz in der Bevölkerung. Und er ist letztlich auch eine Voraussetzung für größeren gesellschaftlichen Zusammenhalt.“ </w:t>
      </w:r>
      <w:r>
        <w:rPr>
          <w:b/>
        </w:rPr>
        <w:t>Kristin Enge</w:t>
      </w:r>
    </w:p>
    <w:p w:rsidR="009738F3" w:rsidRDefault="0025623A">
      <w:pPr>
        <w:pStyle w:val="berschrift1"/>
      </w:pPr>
      <w:bookmarkStart w:id="9" w:name="_Toc230066546"/>
      <w:r>
        <w:t>Gesellschaftliche Teilhabe in Gefahr</w:t>
      </w:r>
      <w:bookmarkEnd w:id="9"/>
    </w:p>
    <w:p w:rsidR="009738F3" w:rsidRDefault="0025623A">
      <w:pPr>
        <w:pStyle w:val="Standard-Fett"/>
      </w:pPr>
      <w:r>
        <w:t xml:space="preserve">Kürzungspläne bei </w:t>
      </w:r>
      <w:r>
        <w:t>Kindern, Jugendlichen und Menschen mit Behinderung</w:t>
      </w:r>
    </w:p>
    <w:p w:rsidR="009738F3" w:rsidRDefault="0025623A">
      <w:pPr>
        <w:pStyle w:val="Vorspann"/>
      </w:pPr>
      <w:r>
        <w:t>Der interne Bericht einer Arbeitsgruppe im Bundeskanzleramt sorgt für Diskussionen: Das Papier listet 70 Kürzungsvorschläge für Sozialleistungen auf. Betroffen sind die Kinder- und Jugendhilfe sowie die Ei</w:t>
      </w:r>
      <w:r>
        <w:t>ngliederungshilfe. Der Sozialverband VdK warnt vor drastischen Leistungseinschränkungen mit unabsehbaren sozialen Folgen.</w:t>
      </w:r>
    </w:p>
    <w:p w:rsidR="009738F3" w:rsidRDefault="0025623A">
      <w:r>
        <w:t>Das Papier mit dem Titel „Effizienter Ressourceneinsatz bei Leistungsgesetzen“ sieht ein Einsparpotenzial von rund 8,6 Milliarden Euro</w:t>
      </w:r>
      <w:r>
        <w:t xml:space="preserve"> vor. Erreicht werden soll das Ziel, indem Vorgaben im Bereich der Unterstützung für Kinder, Jugendliche und Menschen mit Behinderung vereinfacht und Leistungen gebündelt oder gekürzt werden. Der Paritätische Gesamtverband spricht angesichts dieser Ideen v</w:t>
      </w:r>
      <w:r>
        <w:t xml:space="preserve">on einem „drohenden Kahlschlag im Sozialen“. </w:t>
      </w:r>
    </w:p>
    <w:p w:rsidR="009738F3" w:rsidRDefault="0025623A">
      <w:r>
        <w:t>Der Bericht sieht zum Beispiel vor, künftig individuelle Schul-begleitungen von Kindern mit einem besonderen Förderbedarf nur noch in Ausnahmefällen zu bewilligen. Angestrebt werden stattdessen Gruppenlösungen.</w:t>
      </w:r>
      <w:r>
        <w:t xml:space="preserve"> Das heißt, Schulassistenzen sollen in Verantwortung der Bildungseinrichtungen gleich für mehrere Kinder in einer Klasse zuständig sein – unabhängig vom Grad und Umfang des Unterstützungsbedarfs.</w:t>
      </w:r>
    </w:p>
    <w:p w:rsidR="009738F3" w:rsidRDefault="0025623A">
      <w:pPr>
        <w:pStyle w:val="Zwischentitel"/>
      </w:pPr>
      <w:r>
        <w:t>Gefahr für Inklusion</w:t>
      </w:r>
    </w:p>
    <w:p w:rsidR="009738F3" w:rsidRDefault="0025623A">
      <w:r>
        <w:t>Aus Sicht des Sozialverbands VdK können</w:t>
      </w:r>
      <w:r>
        <w:t xml:space="preserve"> solche Angebote der Schulen individuelle Hilfen lediglich ergänzen, aber keinesfalls ersetzen. „Wir warnen davor, den Anspruch auf </w:t>
      </w:r>
      <w:r>
        <w:lastRenderedPageBreak/>
        <w:t>Einzelfallhilfe auszuhebeln und die Rechte von Familien und Kindern zu beschneiden“, erklärt VdK-Präsidentin Verena Bentele.</w:t>
      </w:r>
      <w:r>
        <w:t xml:space="preserve"> „Das wäre ein erheblicher Rückschritt auf dem Weg zu mehr Inklusion an den Schulen und würde Kinder in Förderschulen drängen.“</w:t>
      </w:r>
    </w:p>
    <w:p w:rsidR="009738F3" w:rsidRDefault="0025623A">
      <w:r>
        <w:t>Ein weiterer Vorschlag sieht die Einschränkung des Wunsch- und Wahlrechts für Menschen mit Behinderung vor. Betroffene könnten u</w:t>
      </w:r>
      <w:r>
        <w:t>nter Umständen nicht mehr frei entscheiden, ob sie mithilfe von individuellen Unterstützungsleistungen in ihrer Wohnung bleiben können oder in eine Einrichtung ziehen müssen. Der Druck hin zu stationären Wohnformen würde steigen, um Mehrkosten aufgrund von</w:t>
      </w:r>
      <w:r>
        <w:t xml:space="preserve"> ambulanten Leistungen in der eigenen Wohnung zu vermeiden. Eine solche Einschränkung des Wunsch- und Wahlrechts von Menschen mit Behinderung widerspricht nach Auffassung des VdK dem Selbstbestimmungsrecht und der Teilhabe, die als Rechtsanspruch im Sozial</w:t>
      </w:r>
      <w:r>
        <w:t xml:space="preserve">gesetzbuch und in der UN-Behindertenrechtskonvention verankert sind. </w:t>
      </w:r>
    </w:p>
    <w:p w:rsidR="009738F3" w:rsidRDefault="0025623A">
      <w:r>
        <w:t>Weitere Ideen des Papiers befassen sich mit der Herabsetzung von Qualitätsstandards in der Kita-Betreuung. Diese könnten zur Folge haben, dass weniger Personal zur Verfügung steht und Be</w:t>
      </w:r>
      <w:r>
        <w:t>treuungszeiten gekürzt werden müssen. In der Konsequenz würde die Betreuung wieder stärker in die Elternhäuser verlagert.</w:t>
      </w:r>
    </w:p>
    <w:p w:rsidR="009738F3" w:rsidRDefault="0025623A">
      <w:r>
        <w:t>Der VdK hält die aufgelisteten Maßnahmen für unverantwortlich. „Unter dem Deckmantel von Effizienzgewinnen liegen Vorschläge auf dem T</w:t>
      </w:r>
      <w:r>
        <w:t xml:space="preserve">isch, die die Rechtsansprüche von Menschen mit Behinderung aushebeln. Darüber hinaus werden die Auswirkungen auf die Betroffenen und deren Familien oder mögliche Folgekosten ignoriert“, erklärt Bentele. </w:t>
      </w:r>
    </w:p>
    <w:p w:rsidR="009738F3" w:rsidRDefault="0025623A">
      <w:pPr>
        <w:pStyle w:val="Zwischentitel"/>
      </w:pPr>
      <w:r>
        <w:t>Verstoß gegen Recht</w:t>
      </w:r>
    </w:p>
    <w:p w:rsidR="009738F3" w:rsidRDefault="0025623A">
      <w:r>
        <w:t>Einzelne Vorschläge wie die Bünd</w:t>
      </w:r>
      <w:r>
        <w:t>elung von Leistungen finden sich zum Teil schon in der geplanten Reform der Kinder- und Jugendhilfe wieder. Andere Punkte des Papiers gehen jedoch deutlich über den Gesetzentwurf hinaus.</w:t>
      </w:r>
    </w:p>
    <w:p w:rsidR="009738F3" w:rsidRDefault="0025623A">
      <w:r>
        <w:t>Bentele warnt: „Die gesellschaftliche Teilhabe von Kindern, Jugendlic</w:t>
      </w:r>
      <w:r>
        <w:t xml:space="preserve">hen und Menschen mit Behinderung darf nicht gefährdet werden. Die Vorschläge entziehen ihr in Teilen die existenzielle Grundlage und verstoßen gegen geltendes Recht.“ </w:t>
      </w:r>
      <w:r>
        <w:rPr>
          <w:b/>
        </w:rPr>
        <w:t>Jörg Ciszewski</w:t>
      </w:r>
    </w:p>
    <w:p w:rsidR="009738F3" w:rsidRDefault="0025623A">
      <w:pPr>
        <w:pStyle w:val="berschrift1"/>
      </w:pPr>
      <w:bookmarkStart w:id="10" w:name="_Toc230066547"/>
      <w:r>
        <w:t>Großer Rückhalt für Demokratie</w:t>
      </w:r>
      <w:bookmarkEnd w:id="10"/>
    </w:p>
    <w:p w:rsidR="009738F3" w:rsidRDefault="0025623A">
      <w:pPr>
        <w:pStyle w:val="Standard-Fett"/>
      </w:pPr>
      <w:r>
        <w:t>Langzeitstudie der Bertelsmann Stiftung</w:t>
      </w:r>
    </w:p>
    <w:p w:rsidR="009738F3" w:rsidRDefault="0025623A">
      <w:pPr>
        <w:pStyle w:val="Vorspann"/>
      </w:pPr>
      <w:r>
        <w:t>Die</w:t>
      </w:r>
      <w:r>
        <w:t xml:space="preserve"> Studie Demokratiemonitor der Bertelsmann Stiftung zeigt: Die Demokratie hat in Deutschland weiterhin großen Rückhalt. 82 Prozent der Befragten unterstützen die damit verbundenen Werte – zwei Prozent mehr als 2019. Gleichzeitig sehen viele Befragte Schwäch</w:t>
      </w:r>
      <w:r>
        <w:t>en in der praktischen Umsetzung.</w:t>
      </w:r>
    </w:p>
    <w:p w:rsidR="009738F3" w:rsidRDefault="0025623A">
      <w:r>
        <w:lastRenderedPageBreak/>
        <w:t>Untersucht wurden acht Bereiche wie Wahlen, Öffentlichkeit, Parlament, Regierung, Gewaltenteilung, Bürgerrechte, Partizipation und Parteien. Die mehr als 5000 Befragten haben zwischen 2019 und 2025 sechsmal angegeben, wie sehr sie hinter diesen Werten steh</w:t>
      </w:r>
      <w:r>
        <w:t xml:space="preserve">en und wie gut diese ihrer Ansicht nach im Alltag funktionieren. </w:t>
      </w:r>
    </w:p>
    <w:p w:rsidR="009738F3" w:rsidRDefault="0025623A">
      <w:r>
        <w:t>Während 77 bis 91 Prozent die demokratischen Prinzipien befürworten, bewerten viele Befragte deren tatsächliches Funktionieren durchwachsen. Am besten schneiden Wahlen ab: 91 Prozent unterst</w:t>
      </w:r>
      <w:r>
        <w:t xml:space="preserve">ützen sie, 65 Prozent bewerten ihre Praxis gut. Kritisch gesehen werden Parteien: 77 Prozent befürworten deren Rolle, nur 17 Prozent sind mit ihrer Arbeit zufrieden. </w:t>
      </w:r>
    </w:p>
    <w:p w:rsidR="009738F3" w:rsidRDefault="0025623A">
      <w:r>
        <w:t>Die Studie betont, dass Kritik die grundsätzliche Zustimmung zur Demokratie nicht gefährd</w:t>
      </w:r>
      <w:r>
        <w:t>et. Viele Menschen seien „kritische Bürger“ – unzufrieden mit der Praxis, aber überzeugt von den demokratischen Werten. Die in Teilen geringe Zufriedenheit habe bislang die Legitimität nicht beschädigt. Trotzdem mahnt die Studie Verbesserungen an: Die Erge</w:t>
      </w:r>
      <w:r>
        <w:t xml:space="preserve">bnisse zeigen Stärke, sind aber kein Grund zur Selbstzufriedenheit.  </w:t>
      </w:r>
      <w:r>
        <w:rPr>
          <w:b/>
        </w:rPr>
        <w:t>cis</w:t>
      </w:r>
    </w:p>
    <w:p w:rsidR="009738F3" w:rsidRDefault="0025623A">
      <w:pPr>
        <w:pStyle w:val="berschrift1"/>
      </w:pPr>
      <w:bookmarkStart w:id="11" w:name="_Toc230066548"/>
      <w:r>
        <w:t>Löhne sollen gerechter werden</w:t>
      </w:r>
      <w:bookmarkEnd w:id="11"/>
    </w:p>
    <w:p w:rsidR="009738F3" w:rsidRDefault="0025623A">
      <w:pPr>
        <w:pStyle w:val="Standard-Fett"/>
      </w:pPr>
      <w:r>
        <w:t>Deutschland bremst bei der Umsetzung der EU-Entgelttransparenzrichtlinie</w:t>
      </w:r>
    </w:p>
    <w:p w:rsidR="009738F3" w:rsidRDefault="0025623A">
      <w:pPr>
        <w:pStyle w:val="Vorspann"/>
      </w:pPr>
      <w:r>
        <w:t>Gleichwertige Arbeit wird noch immer nicht gleich bezahlt. Durch Vorgaben aus de</w:t>
      </w:r>
      <w:r>
        <w:t>m EU-Recht soll die bestehende Gesetzgebung verschärft werden, damit faire und transparente Bezahlung besser durchgesetzt werden kann.</w:t>
      </w:r>
    </w:p>
    <w:p w:rsidR="009738F3" w:rsidRDefault="0025623A">
      <w:r>
        <w:t>Im Jahr 2025 klaffte noch immer eine Lohnlücke von durchschnittlich 16 Prozent zwischen den Geschlechtern in Deutschland.</w:t>
      </w:r>
      <w:r>
        <w:t xml:space="preserve"> Dabei trat 2017 bereits das Entgelttransparenzgesetz in Kraft. Das Gesetz hat deutliche Schwächen: So gilt der Auskunftsanspruch über Gehaltsstrukturen und Vergleichsgehälter nur für Beschäftigte in mittleren und großen Betrieben. In der Praxis ist der Ef</w:t>
      </w:r>
      <w:r>
        <w:t xml:space="preserve">fekt deshalb begrenzt – nur wenige Frauen nahmen ihre Rechte in Anspruch. </w:t>
      </w:r>
    </w:p>
    <w:p w:rsidR="009738F3" w:rsidRDefault="0025623A">
      <w:r>
        <w:t>Eine EU-Vorgabe mit dem sperrigen Namen „Entgelttransparenzrichtlinie“ soll für Verbesserungen sorgen. Anhand von Kompetenzen, Belastungen, Verantwortung und Arbeitsbedingungen müss</w:t>
      </w:r>
      <w:r>
        <w:t>en Gehaltsunterschiede nun objektiv erklärbar werden. Schon vor dem Vorstellungsgespräch soll ein Einstiegsgehalt oder eine Gehaltsspanne sichtbar sein. Und auch die Frage nach dem bisherigen Verdienst wird verboten – eine Praxis, die Frauen bisher systema</w:t>
      </w:r>
      <w:r>
        <w:t xml:space="preserve">tisch benachteiligt hat, weil frühere Niedriglöhne auf diese Weise fortgeschrieben wurden. </w:t>
      </w:r>
    </w:p>
    <w:p w:rsidR="009738F3" w:rsidRDefault="0025623A">
      <w:r>
        <w:t>Für Frauen reichen die Folgen weit über den monatlichen Gehaltszettel hinaus. Ein höherer Verdienst stärkt die gesamte soziale Absicherung: Krankengeld, Elterngeld,</w:t>
      </w:r>
      <w:r>
        <w:t xml:space="preserve"> Arbeitslosengeld und Rente berechnen sich auf Einkommensbasis. Mehr Lohngerechtigkeit bedeutet deshalb weniger  Altersarmut und mehr eigenständige Existenzsicherung. </w:t>
      </w:r>
    </w:p>
    <w:p w:rsidR="009738F3" w:rsidRDefault="0025623A">
      <w:pPr>
        <w:pStyle w:val="Zwischentitel"/>
      </w:pPr>
      <w:r>
        <w:lastRenderedPageBreak/>
        <w:t>Wenig entschlossen</w:t>
      </w:r>
    </w:p>
    <w:p w:rsidR="009738F3" w:rsidRDefault="0025623A">
      <w:r>
        <w:t>Der Sozialverband VdK fordert, die Richtlinie schnell und ambitionier</w:t>
      </w:r>
      <w:r>
        <w:t>t in nationales Recht umzusetzen und auch auf kleinere Unternehmen anzuwenden, weil sie ein wichtiger Schritt zu mehr Gleichstellung ist. Der VdK kritisiert, dass die Regierung die Beseitigung des Lohnunterschieds nicht entschlossen angeht. Deutschland mus</w:t>
      </w:r>
      <w:r>
        <w:t xml:space="preserve">s die Richtlinie bis zum 7. Juni umsetzen – bei Redaktionsschluss lag jedoch noch kein Gesetzentwurf vor. </w:t>
      </w:r>
      <w:r>
        <w:rPr>
          <w:b/>
        </w:rPr>
        <w:t xml:space="preserve"> Jörg Ciszewski</w:t>
      </w:r>
    </w:p>
    <w:p w:rsidR="009738F3" w:rsidRDefault="0025623A">
      <w:pPr>
        <w:pStyle w:val="berschrift1"/>
      </w:pPr>
      <w:bookmarkStart w:id="12" w:name="_Toc230066549"/>
      <w:r>
        <w:t>Nach Aberkennung erkämpft VdK höheren Pflegegrad</w:t>
      </w:r>
      <w:bookmarkEnd w:id="12"/>
    </w:p>
    <w:p w:rsidR="009738F3" w:rsidRDefault="0025623A">
      <w:pPr>
        <w:pStyle w:val="Standard-Fett"/>
      </w:pPr>
      <w:r>
        <w:t>Krankenkasse strich Leistungen nach Antrag auf Höherstufung komplett – VdK erreicht v</w:t>
      </w:r>
      <w:r>
        <w:t>or dem Sozialgericht Pflegegrad 3</w:t>
      </w:r>
    </w:p>
    <w:p w:rsidR="009738F3" w:rsidRDefault="0025623A">
      <w:pPr>
        <w:pStyle w:val="Vorspann"/>
      </w:pPr>
      <w:r>
        <w:t>Einer jungen Frau wird der Pflegegrad entzogen, weil der Medizinische Dienst ihren Unterstützungsbedarf falsch einschätzt. Erst nach einer Klage des VdK Berlin-Brandenburg stellt ein Gutachten den tatsächlichen Bedarf fest</w:t>
      </w:r>
      <w:r>
        <w:t xml:space="preserve"> und das Mitglied erhält Pflegegrad 3.</w:t>
      </w:r>
    </w:p>
    <w:p w:rsidR="009738F3" w:rsidRDefault="0025623A">
      <w:r>
        <w:t>Mia* fühlte sich bereits als Kind oft nicht wohl in Gesellschaft anderer Menschen. Es fiel ihr schwer, mit Kindern in Kontakt zu treten oder zu spielen. „Sie war schon immer in einem Anpassungsmodus. Es kostet sie vie</w:t>
      </w:r>
      <w:r>
        <w:t xml:space="preserve">l Kraft, sich auf ihre Umgebung einzustellen“, erklärt ihre Mutter. </w:t>
      </w:r>
    </w:p>
    <w:p w:rsidR="009738F3" w:rsidRDefault="0025623A">
      <w:r>
        <w:t>Seit ihrem vierten Lebensjahr ist Mia in therapeutischer Behandlung, mit 15 Jahren erhielt sie die Diagnose Asperger-Syndrom. Dabei handelt es sich um eine Variante der Autismus-Spektrum-</w:t>
      </w:r>
      <w:r>
        <w:t>Störung. Menschen mit Asperger-Syndrom haben Schwierigkeiten im sozialen Umgang und in der Kommunikation. Außerdem entwickeln sie oft Überempfindlichkeiten gegenüber Reizen und haben Probleme, wichtige Eindrücke zu filtern. Bei Mia führte die Erkrankung da</w:t>
      </w:r>
      <w:r>
        <w:t xml:space="preserve">zu, dass sie sich immer mehr zurückzog. Ab Oktober 2023 – da war sie 16 Jahre alt – entwickelte sie eine ausgeprägte Essstörung. „Innerhalb weniger Wochen war sie nur noch Haut und Knochen“, erinnert sich ihre Mutter. Sechs Mal am Tag half die Mutter ihr  </w:t>
      </w:r>
      <w:r>
        <w:t xml:space="preserve">beim Essen. Mia hatte damals seit gut einem Jahr einen Pflegegrad 2. Ihre Mutter trat einem Netzwerk für magersüchtige Kinder bei, um sich auszutauschen. Im März 2024 stellte sie einen Antrag auf Höherstufung des Pflegegrads. </w:t>
      </w:r>
    </w:p>
    <w:p w:rsidR="009738F3" w:rsidRDefault="0025623A">
      <w:pPr>
        <w:pStyle w:val="Zwischentitel"/>
      </w:pPr>
      <w:r>
        <w:t>Überraschung per Post</w:t>
      </w:r>
    </w:p>
    <w:p w:rsidR="009738F3" w:rsidRDefault="0025623A">
      <w:r>
        <w:t>Als sie</w:t>
      </w:r>
      <w:r>
        <w:t xml:space="preserve"> nach dem Hausbesuch durch den Medizinischen Dienst Post von der Pflegekasse erhielt, traute sie ihren Augen kaum. Ihr Antrag war nicht nur abgelehnt worden, der Pflegegrad wurde </w:t>
      </w:r>
      <w:r>
        <w:lastRenderedPageBreak/>
        <w:t>aufgehoben. Mias Zustand habe sich verbessert und sie sei selbstständiger gew</w:t>
      </w:r>
      <w:r>
        <w:t xml:space="preserve">orden, schrieb die Kasse und strich den Pflegegrad mit Wirkung ab 1. August 2024. Die Mutter nahm Kontakt zum VdK Berlin-Brandenburg auf. Die zuständige Juristin legte Widerspruch gegen die Entscheidung der Pflegekasse ein. Darin machte sie deutlich, dass </w:t>
      </w:r>
      <w:r>
        <w:t>sich Mias Gesundheitszustand nicht verbessert, sondern verschlechtert hat. Ihr gehe es so schlecht, dass der Schulunterricht mittlerweile nur noch online möglich ist. Doch die Pflegekasse lehnte erneut ab.</w:t>
      </w:r>
    </w:p>
    <w:p w:rsidR="009738F3" w:rsidRDefault="0025623A">
      <w:r>
        <w:t>Schließlich klagte der VdK vor dem Sozialgericht N</w:t>
      </w:r>
      <w:r>
        <w:t>euruppin und forderte den Pflegegrad 2 zurück. Die Juristin beantragte, ein ärztliches Pflegegutachten durch Fachkräfte einzuholen. Dem kam das Gericht nach und beauftragte eine Pflegesachverständige. In ihrem Gutachten wird deutlich, dass Mia in vielen Si</w:t>
      </w:r>
      <w:r>
        <w:t xml:space="preserve">tuationen wie beim Essen, An- und Auskleiden sowie beim Waschen Unterstützungsbedarf hat, der sogar einen Pflegegrad 3 rechtfertigt. Die Pflegekasse reagierte viele Monate nicht auf dieses Gutachten. </w:t>
      </w:r>
    </w:p>
    <w:p w:rsidR="009738F3" w:rsidRDefault="0025623A">
      <w:pPr>
        <w:pStyle w:val="Zwischentitel"/>
      </w:pPr>
      <w:r>
        <w:t>Hohe Nachzahlung</w:t>
      </w:r>
    </w:p>
    <w:p w:rsidR="009738F3" w:rsidRDefault="0025623A">
      <w:r>
        <w:t>Erst als das Gericht einen Termin anbe</w:t>
      </w:r>
      <w:r>
        <w:t xml:space="preserve">raumte, um eine Reaktion zu erzwingen, erkannte sie im Februar 2026 einen Pflegegrad 3 seit Antragstellung am 27. März 2024 an. Dadurch erhält Mia eine rückwirkende Nachzahlung in Höhe von rund 15 000 Euro. </w:t>
      </w:r>
    </w:p>
    <w:p w:rsidR="009738F3" w:rsidRDefault="0025623A">
      <w:r>
        <w:t>Für die Familie bedeutet der Pflegegrad 3 eine f</w:t>
      </w:r>
      <w:r>
        <w:t xml:space="preserve">inanzielle Entlastung, weil sie viele medizinisch notwendigen Produkte aus eigener Tasche bezahlen muss. Außerdem macht Mia ihr Abitur bei einer Fernschule. Dadurch fallen erhebliche Kosten an. „Mit dem positiven Ausgang des Verfahrens ist auch eine große </w:t>
      </w:r>
      <w:r>
        <w:t>emotionale Last von uns gefallen“, sagt die Mutter. „Ohne die Unterstützung des VdK hätten wir das nicht geschafft.“</w:t>
      </w:r>
    </w:p>
    <w:p w:rsidR="009738F3" w:rsidRDefault="0025623A">
      <w:r>
        <w:t>Für den Landesvorsitzenden des VdK Berlin-Brandenburg, Ralf Bergmann, ist der Fall „ein eindrucksvolles Beispiel dafür, wie die hochqualita</w:t>
      </w:r>
      <w:r>
        <w:t xml:space="preserve">tive und engagierte Arbeit unserer Mitarbeiter für die Mitglieder wirkt“. </w:t>
      </w:r>
      <w:r>
        <w:rPr>
          <w:b/>
        </w:rPr>
        <w:t>Jörg Ciszewski</w:t>
      </w:r>
    </w:p>
    <w:p w:rsidR="009738F3" w:rsidRDefault="0025623A">
      <w:r>
        <w:t xml:space="preserve"> *Name ist der Redaktion bekannt</w:t>
      </w:r>
    </w:p>
    <w:p w:rsidR="009738F3" w:rsidRDefault="0025623A">
      <w:pPr>
        <w:pStyle w:val="berschrift1"/>
      </w:pPr>
      <w:bookmarkStart w:id="13" w:name="_Toc230066550"/>
      <w:r>
        <w:t>Zweimal abgelehnt, dann bewilligt</w:t>
      </w:r>
      <w:bookmarkEnd w:id="13"/>
    </w:p>
    <w:p w:rsidR="009738F3" w:rsidRDefault="0025623A">
      <w:pPr>
        <w:pStyle w:val="Standard-Fett"/>
      </w:pPr>
      <w:r>
        <w:t>VdK erstreitet Kostenübernahme von knapp 48 000 Euro für Beinorthese</w:t>
      </w:r>
    </w:p>
    <w:p w:rsidR="009738F3" w:rsidRDefault="0025623A">
      <w:pPr>
        <w:pStyle w:val="Vorspann"/>
      </w:pPr>
      <w:r>
        <w:t>Erst lehnte die Krankenkasse di</w:t>
      </w:r>
      <w:r>
        <w:t xml:space="preserve">e Erprobung einer neuen Beinorthese für MS-Patient Jan Hörberg ab. Der VdK Nord widersprach – und die Kasse lenkte ein. Doch obwohl die Tests positiv verliefen, verweigerte die Kasse eine dauerhafte Kostenübernahme. Erneut schaltete sich der VdK ein – mit </w:t>
      </w:r>
      <w:r>
        <w:t>Erfolg.</w:t>
      </w:r>
    </w:p>
    <w:p w:rsidR="009738F3" w:rsidRDefault="0025623A">
      <w:r>
        <w:lastRenderedPageBreak/>
        <w:t xml:space="preserve">VdK-Mitglied Jan Hörberg hat eine schwere Form der Multiplen Sklerose (MS), die schubförmig verläuft. Wegen der Lähmungserscheinungen im rechten Bein ist er auf eine Orthese angewiesen. </w:t>
      </w:r>
    </w:p>
    <w:p w:rsidR="009738F3" w:rsidRDefault="0025623A">
      <w:r>
        <w:t>Die Spiralorthese, die der 44-Jährige bis zum vergangenen Jah</w:t>
      </w:r>
      <w:r>
        <w:t>r genutzt hat, konnte seine Bewegungseinschränkung allerdings nicht mehr ausgleichen. Hörberg konnte kaum noch Treppen steigen und war mehrfach gestürzt. Daher beantragte er bei seiner Krankenkasse die Erprobung einer computergesteuerten Beinorthese und fü</w:t>
      </w:r>
      <w:r>
        <w:t xml:space="preserve">gte eine ärztliche Verordnung bei. </w:t>
      </w:r>
    </w:p>
    <w:p w:rsidR="009738F3" w:rsidRDefault="0025623A">
      <w:r>
        <w:t>Nachdem die Kasse seinen Antrag abgelehnt hatte, wandte er sich an den VdK Nord. Sabine Welge von der Geschäftsstelle in Lübeck legte Widerspruch gegen die Ablehnung ein. Sie fügte Videos aus einem Sanitätshaus an, um zu</w:t>
      </w:r>
      <w:r>
        <w:t xml:space="preserve"> zeigen, dass nur diese Beinorthese wirklich hilft. Die Aufnahmen zeigen Gehtests mit verschiedenen Orthesen auf unterschiedlichen Testflächen. Sie dokumentieren, dass die beantragte Orthese Hörberg eine komplette eigenständige Beinbewegung ermöglicht. </w:t>
      </w:r>
    </w:p>
    <w:p w:rsidR="009738F3" w:rsidRDefault="0025623A">
      <w:r>
        <w:t>Sc</w:t>
      </w:r>
      <w:r>
        <w:t xml:space="preserve">hließlich lenkte die Krankenkasse ein. Sie übernahm die Kosten für die vierwöchige Testphase mit der beantragten Orthese. </w:t>
      </w:r>
    </w:p>
    <w:p w:rsidR="009738F3" w:rsidRDefault="0025623A">
      <w:pPr>
        <w:pStyle w:val="Zwischentitel"/>
      </w:pPr>
      <w:r>
        <w:t>Schlechte Nachricht</w:t>
      </w:r>
    </w:p>
    <w:p w:rsidR="009738F3" w:rsidRDefault="0025623A">
      <w:r>
        <w:t xml:space="preserve">Während der Erprobung zeigte sich schon frühzeitig, dass Hörberg mit dem Modell sehr gut Treppen steigen und auf </w:t>
      </w:r>
      <w:r>
        <w:t xml:space="preserve">unebenen Flächen laufen kann. Alle Zeichen deuteten also auf eine dauerhafte Versorgung mit der beantragten Orthese. Wir haben in der VdK-Zeitung zum Jahreswechsel 2025/2026 darüber berichtet. </w:t>
      </w:r>
    </w:p>
    <w:p w:rsidR="009738F3" w:rsidRDefault="0025623A">
      <w:r>
        <w:t>Kurz vor Weihnachten vergangenen Jahres kam dann allerdings di</w:t>
      </w:r>
      <w:r>
        <w:t xml:space="preserve">e Ernüchterung – die Krankenkasse lehnte trotz der positiven Testeindrücke eine sogenannte Definitivversorgung ab und schlug ein kostengünstigeres Modell vor. </w:t>
      </w:r>
    </w:p>
    <w:p w:rsidR="009738F3" w:rsidRDefault="0025623A">
      <w:r>
        <w:t>VdK-Juristin Welge legte erneut Widerspruch ein. Das Mitglied testete die alternative Orthese. A</w:t>
      </w:r>
      <w:r>
        <w:t>llerdings konnte diese nicht die bei Hörberg ausgefallene Oberschenkelmuskulatur ersetzen und sein Knie stabilisieren. Das geht aus der Stellungnahme des Sanitätshauses hervor, die Welge ihrem Widerspruch anfügte.</w:t>
      </w:r>
    </w:p>
    <w:p w:rsidR="009738F3" w:rsidRDefault="0025623A">
      <w:r>
        <w:t>Das überzeugte dann offenbar auch die Kran</w:t>
      </w:r>
      <w:r>
        <w:t>kenkasse, die einen Monat später die Kostenübernahme für eine dauerhafte Versorgung bewilligte. Der Medizinische Dienst war bei einer erneuten Begutachtung des Widerspruchs zu dem Ergebnis gekommen, dass die Voraussetzungen dafür erfüllt sind. Die Kosten f</w:t>
      </w:r>
      <w:r>
        <w:t>ür die individuell angefertigte Orthese, die durch einen Mikroprozessor über einen speziellen Motor gesteuert wird, belaufen sich auf 48 000 Euro.</w:t>
      </w:r>
    </w:p>
    <w:p w:rsidR="009738F3" w:rsidRDefault="0025623A">
      <w:r>
        <w:t>Jan Hörberg ist erleichtert und VdK-Juristin Sabine Welge sowie dem Sanitätshaus dankbar. „Die Orthese bedeut</w:t>
      </w:r>
      <w:r>
        <w:t>et für mich mehr Teilhabe im Alltag. Mit ihr schaffe ich Strecken, die vorher nicht möglich waren. Toll ist, dass ich beim Laufen nach vorne schauen kann und nicht mehr jeden Schritt planen muss, denn die Orthese stabilisiert mein Bein und gleicht Unebenhe</w:t>
      </w:r>
      <w:r>
        <w:t xml:space="preserve">iten aus.“ </w:t>
      </w:r>
      <w:r>
        <w:rPr>
          <w:b/>
        </w:rPr>
        <w:t>Jörg Ciszewski</w:t>
      </w:r>
    </w:p>
    <w:p w:rsidR="009738F3" w:rsidRDefault="0025623A">
      <w:pPr>
        <w:pStyle w:val="berschrift1"/>
      </w:pPr>
      <w:bookmarkStart w:id="14" w:name="_Toc230066551"/>
      <w:r>
        <w:lastRenderedPageBreak/>
        <w:t>Mehrheit lehnt Leistungskürzungen ab</w:t>
      </w:r>
      <w:bookmarkEnd w:id="14"/>
    </w:p>
    <w:p w:rsidR="009738F3" w:rsidRDefault="0025623A">
      <w:pPr>
        <w:pStyle w:val="Standard-Fett"/>
      </w:pPr>
      <w:r>
        <w:t>VdK: Abbau von Leistungen erhöht Belastung von pflegenden Angehörigen</w:t>
      </w:r>
    </w:p>
    <w:p w:rsidR="009738F3" w:rsidRDefault="0025623A">
      <w:pPr>
        <w:pStyle w:val="Vorspann"/>
      </w:pPr>
      <w:r>
        <w:t>Eine große Mehrheit der Bevölkerung lehnt Kürzungen von Pflegeleistungen ab. Das ist das Ergebnis einer repräsentativen Umf</w:t>
      </w:r>
      <w:r>
        <w:t xml:space="preserve">rage des Sozialverbands VdK, die das Meinungsforschungsinstitut YouGov durchgeführt hat. </w:t>
      </w:r>
    </w:p>
    <w:p w:rsidR="009738F3" w:rsidRDefault="0025623A">
      <w:r>
        <w:t>Vor dem Hintergrund der von der Bundesregierung angekündigten Sparmaßnahmen auch im Pflegebereich sieht der VdK die pflegerische Versorgung in Gefahr. Der Verband häl</w:t>
      </w:r>
      <w:r>
        <w:t xml:space="preserve">t Reformen, die in vielen Leistungsbereichen der gesetzlichen Pflegeversicherung zu enormen Kürzungen führen würden, grundsätzlich für falsch. Die Umfrageergebnisse zeigen, dass auch große Teile der Bevölkerung solche Kürzungen ablehnen. </w:t>
      </w:r>
    </w:p>
    <w:p w:rsidR="009738F3" w:rsidRDefault="0025623A">
      <w:r>
        <w:t>Mehr als drei Viertel der Teilnehmenden (77 Prozent) sind gegen einen erschwerten Zugang zu einem Pflegegrad, wie er aktuell in Fachkreisen wie dem Bundesministerium für Gesundheit und der zuständigen Bund-Länder-Arbeitsgruppe diskutiert wird. Lediglich 15</w:t>
      </w:r>
      <w:r>
        <w:t xml:space="preserve"> Prozent aller Befragten halten dies für akzeptabel. </w:t>
      </w:r>
    </w:p>
    <w:p w:rsidR="009738F3" w:rsidRDefault="0025623A">
      <w:pPr>
        <w:pStyle w:val="Zwischentitel"/>
      </w:pPr>
      <w:r>
        <w:t>Verschärfung abgelehnt</w:t>
      </w:r>
    </w:p>
    <w:p w:rsidR="009738F3" w:rsidRDefault="0025623A">
      <w:r>
        <w:t>Die Voraussetzungen für die Einstufung in einen höheren Pflegegrad zu verschärfen, lehnt ein Großteil der Befragten ab, nämlich 72 Prozent. Der VdK wertet solche Maßnahmen als soz</w:t>
      </w:r>
      <w:r>
        <w:t>ial ungerecht. VdK-Präsidentin Verena Bentele sagt: „Wird der Zugang zu einem Pflegegrad verzögert, verlagert das die Belastung auf die pflegenden Angehörigen und kann zu Krisensituationen und später zu teureren Versorgungsformen führen. Anstatt den Zugang</w:t>
      </w:r>
      <w:r>
        <w:t xml:space="preserve"> zu Leistungen zu erschweren, braucht es den Ausbau von Prävention und Rehabilitation.“ </w:t>
      </w:r>
    </w:p>
    <w:p w:rsidR="009738F3" w:rsidRDefault="0025623A">
      <w:r>
        <w:t xml:space="preserve">71 Prozent der Befragten halten es für nicht akzeptabel, dass Leistungen wie Zuschüsse für den Hausnotruf oder Pflegehilfsmittel im Pflegegrad 1 gekürzt werden.  Auch </w:t>
      </w:r>
      <w:r>
        <w:t xml:space="preserve">die Zusammenfassung vieler Pflegeleistungen, die dann nur noch bis zu einem bestimmten Oberbetrag bezahlt würden, lehnt mit 55 Prozent mehr als die Hälfte der Teilnehmenden ab. </w:t>
      </w:r>
    </w:p>
    <w:p w:rsidR="009738F3" w:rsidRDefault="0025623A">
      <w:r>
        <w:t>Im Rahmen dieser Umfrage wurden insgesamt 2352 Personen vom Meinungsforschungs</w:t>
      </w:r>
      <w:r>
        <w:t xml:space="preserve">institut YouGov im Zeitraum vom 10. bis 13. April 2026 befragt. Die Ergebnisse sind repräsentativ für die Wohnbevölkerung in Deutschland ab 18 Jahren.  </w:t>
      </w:r>
      <w:r>
        <w:rPr>
          <w:b/>
        </w:rPr>
        <w:t>Julia Frediani</w:t>
      </w:r>
    </w:p>
    <w:p w:rsidR="009738F3" w:rsidRDefault="0025623A">
      <w:pPr>
        <w:pStyle w:val="berschrift1"/>
      </w:pPr>
      <w:bookmarkStart w:id="15" w:name="_Toc230066552"/>
      <w:r>
        <w:lastRenderedPageBreak/>
        <w:t>Pflege nachhaltig sichern</w:t>
      </w:r>
      <w:bookmarkEnd w:id="15"/>
    </w:p>
    <w:p w:rsidR="009738F3" w:rsidRDefault="0025623A">
      <w:pPr>
        <w:pStyle w:val="Standard-Fett"/>
      </w:pPr>
      <w:r>
        <w:t>Echte Reformen statt kurzfristige Lösungen</w:t>
      </w:r>
    </w:p>
    <w:p w:rsidR="009738F3" w:rsidRDefault="0025623A">
      <w:pPr>
        <w:pStyle w:val="Vorspann"/>
      </w:pPr>
      <w:r>
        <w:t xml:space="preserve">Der Sozialverband </w:t>
      </w:r>
      <w:r>
        <w:t>VdK fordert Reformen, die die Pflege langfristig und menschenwürdig sichern. Maßnahmen, die zulasten der Pflegebedürftigen gehen, lehnt er dagegen ab.</w:t>
      </w:r>
    </w:p>
    <w:p w:rsidR="009738F3" w:rsidRDefault="0025623A">
      <w:r>
        <w:t>VdK-Präsidentin Verena Bentele fehlt in der aktuellen Debatte eine klare Vision, wie Pflege in Zukunft me</w:t>
      </w:r>
      <w:r>
        <w:t>nschenwürdig organisiert und gesichert werden kann. „Es reicht nicht aus, nur kurzfristig die Finanzlöcher in der Pflegeversicherung zu stopfen“, sagt Bentele.</w:t>
      </w:r>
    </w:p>
    <w:p w:rsidR="009738F3" w:rsidRDefault="0025623A">
      <w:r>
        <w:t>Pflege muss zu einer Pflichtaufgabe der Kommunen werden, damit Pflegebedürftige und ihre Angehör</w:t>
      </w:r>
      <w:r>
        <w:t>igen Unterstützung aus einer Hand erhalten. Die Kommunen können den Bedarf vor Ort erfassen und Angebote steuern. Bei einer Unterversorgung sollten sie selbst Strukturen aufbauen können. Versorgungslücken ließen sich so wirksam schließen. Bislang sind dies</w:t>
      </w:r>
      <w:r>
        <w:t>e Aufgaben nicht verbindlich geregelt und klare Zuständigkeiten fehlen.</w:t>
      </w:r>
    </w:p>
    <w:p w:rsidR="009738F3" w:rsidRDefault="0025623A">
      <w:pPr>
        <w:pStyle w:val="Zwischentitel"/>
      </w:pPr>
      <w:r>
        <w:t>Neues Fundament</w:t>
      </w:r>
    </w:p>
    <w:p w:rsidR="009738F3" w:rsidRDefault="0025623A">
      <w:r>
        <w:t>„Damit sich die ohnehin angespannte Haushaltslage der Kommunen nicht weiter verschärft, müssen Bund und Länder die mit der pflegerischen Versorgung verbundenen Aufgaben</w:t>
      </w:r>
      <w:r>
        <w:t xml:space="preserve"> vollständig und dauerhaft finanzieren“, erklärt die VdK-Präsidentin. Gleichzeitig muss die Basis der Pflege finanziell neu aufgestellt werden. Der VdK schlägt eine solidarische Pflegeversicherung vor, in die alle Bürgerinnen und Bürger einzahlen. Dabei so</w:t>
      </w:r>
      <w:r>
        <w:t>llen alle Einkommensarten berücksichtigt und die Beitragsbemessungsgrenze auf das Niveau der Rentenversicherung angehoben werden.</w:t>
      </w:r>
    </w:p>
    <w:p w:rsidR="009738F3" w:rsidRDefault="0025623A">
      <w:r>
        <w:t>Zudem fordert der VdK, die pandemiebedingten Kosten der Pflegeversicherung sowie versicherungsfremde Leistungen – etwa die Ren</w:t>
      </w:r>
      <w:r>
        <w:t xml:space="preserve">tenversicherungsbeiträge für pflegende Angehörige – aus Steuermitteln zu finanzieren. Das würde die Pflegeversicherung stabilisieren und die Versicherten spürbar entlasten. </w:t>
      </w:r>
      <w:r>
        <w:rPr>
          <w:b/>
        </w:rPr>
        <w:t>ken</w:t>
      </w:r>
    </w:p>
    <w:p w:rsidR="009738F3" w:rsidRDefault="0025623A">
      <w:pPr>
        <w:pStyle w:val="berschrift1"/>
      </w:pPr>
      <w:bookmarkStart w:id="16" w:name="_Toc230066553"/>
      <w:r>
        <w:t>Pränatale Bluttests auf dem Prüfstand</w:t>
      </w:r>
      <w:bookmarkEnd w:id="16"/>
    </w:p>
    <w:p w:rsidR="009738F3" w:rsidRDefault="0025623A">
      <w:pPr>
        <w:pStyle w:val="Standard-Fett"/>
      </w:pPr>
      <w:r>
        <w:t>Kassenleistung wird immer häufiger in Ans</w:t>
      </w:r>
      <w:r>
        <w:t>pruch genommen, um Wahrscheinlichkeit einer Trisomie zu bestimmen</w:t>
      </w:r>
    </w:p>
    <w:p w:rsidR="009738F3" w:rsidRDefault="0025623A">
      <w:pPr>
        <w:pStyle w:val="Vorspann"/>
      </w:pPr>
      <w:r>
        <w:lastRenderedPageBreak/>
        <w:t>Schwangere nehmen zunehmend sogenannte nicht-invasive Pränataltests (NIPT) in Anspruch. Das sind Bluttests zur Früherkennung einer möglichen Trisomie. Bundestagsabgeordnete warnen davor, das</w:t>
      </w:r>
      <w:r>
        <w:t xml:space="preserve">s der Test zur Routineunter-suchung wird und haben unter anderem ethische Bedenken. </w:t>
      </w:r>
    </w:p>
    <w:p w:rsidR="009738F3" w:rsidRDefault="0025623A">
      <w:r>
        <w:t>Eingeführt wurde der NIPT im Jahr 2012 mit dem Ziel, invasive pränatale Untersuchungen zu reduzieren. Bei diesen Eingriffen, etwa der Entnahme von Fruchtwasser oder Gewebe</w:t>
      </w:r>
      <w:r>
        <w:t>, besteht ein Risiko für Komplikationen. Laut Fachleuten kann es bei etwa ein bis vier von 1000 Frauen infolge solcher Untersuchungen zu einer Fehlgeburt kommen.</w:t>
      </w:r>
    </w:p>
    <w:p w:rsidR="009738F3" w:rsidRDefault="0025623A">
      <w:r>
        <w:t xml:space="preserve">Dieses Risiko besteht beim NIPT nicht. Für den Test wird der Schwangeren ab der zehnten Woche </w:t>
      </w:r>
      <w:r>
        <w:t>lediglich Blut aus der Armvene entnommen. Anhand dieser Probe lässt sich feststellen, ob ein erhöhtes Risiko für bestimmte Trisomien vorliegt. Allerdings handelt es sich nicht um eine sichere Diagnose, sondern um eine Wahrscheinlichkeitsaussage. Gewissheit</w:t>
      </w:r>
      <w:r>
        <w:t xml:space="preserve"> kann nur eine invasive Untersuchung wie die Fruchtwasseranalyse liefern.</w:t>
      </w:r>
    </w:p>
    <w:p w:rsidR="009738F3" w:rsidRDefault="0025623A">
      <w:r>
        <w:t>Lange Zeit mussten Schwangere die Kosten für den NIPT selbst tragen. Seit dem Jahr 2022 übernehmen die gesetzlichen Kassen die Kosten unter bestimmten Voraussetzungen. Dazu zählen et</w:t>
      </w:r>
      <w:r>
        <w:t>wa konkrete medizinische Hinweise wie ein auffälliger Ultraschallbefund. Eine Kostenübernahme ist auch möglich, wenn die Schwangere mit einer Ärztin oder einem Arzt zu dem Schluss kommt, dass der Test notwendig ist.</w:t>
      </w:r>
    </w:p>
    <w:p w:rsidR="009738F3" w:rsidRDefault="0025623A">
      <w:pPr>
        <w:pStyle w:val="Zwischentitel"/>
      </w:pPr>
      <w:r>
        <w:t>Immer mehr genutzt</w:t>
      </w:r>
    </w:p>
    <w:p w:rsidR="009738F3" w:rsidRDefault="0025623A">
      <w:r>
        <w:t>Ursprünglich als gezi</w:t>
      </w:r>
      <w:r>
        <w:t xml:space="preserve">elte Untersuchung gedacht, entwickelt sich der NIPT zunehmend zu einem flächendeckenden Screening. Daten der Barmer Krankenkasse zeigen, dass 2024 durchschnittlich fast die Hälfte aller Schwangeren einen Test durchführen ließ – 32 Prozent mehr als im Jahr </w:t>
      </w:r>
      <w:r>
        <w:t>zuvor.</w:t>
      </w:r>
    </w:p>
    <w:p w:rsidR="009738F3" w:rsidRDefault="0025623A">
      <w:r>
        <w:t>Diese Entwicklung hat eine Gruppe von mehr als 100 Abgeordneten fraktionsunabhängig im Bundestag kontrovers diskutiert. Kritisiert wird unter anderem, dass die Zahl invasiver Untersuchungen trotz Einführung des NIPT nicht gesunken, sondern gestiegen</w:t>
      </w:r>
      <w:r>
        <w:t xml:space="preserve"> ist. </w:t>
      </w:r>
    </w:p>
    <w:p w:rsidR="009738F3" w:rsidRDefault="0025623A">
      <w:r>
        <w:t>Da ein Verdacht auf Trisomie oft  zu einem Schwangerschaftsabbruch führt, sehen sie die Gefahr einer gesellschaftlichen Fehlentwicklung. Sie sind der Ansicht, dass das Ziel eine möglichst inklusive Gesellschaft sein sollte, die alle Menschen willkom</w:t>
      </w:r>
      <w:r>
        <w:t xml:space="preserve">men heißt und Barrieren abbaut. Zudem fehle es an klaren Regelungen, wann der Bluttest eingesetzt werden sollte. Angestrebt wird eine ethische Abwägung darüber, welche Auswirkungen eine Einschränkung der Tests auf schwangere Frauen haben könnte. Das Recht </w:t>
      </w:r>
      <w:r>
        <w:t>auf Information und Selbstbestimmung – besonders für Frauen mit wenig Einkommen, die sich den Test nicht leisten können – sollte nicht eingeschränkt werden.</w:t>
      </w:r>
    </w:p>
    <w:p w:rsidR="009738F3" w:rsidRDefault="0025623A">
      <w:pPr>
        <w:pStyle w:val="Zwischentitel"/>
      </w:pPr>
      <w:r>
        <w:t>Verlässliche Daten</w:t>
      </w:r>
    </w:p>
    <w:p w:rsidR="009738F3" w:rsidRDefault="0025623A">
      <w:r>
        <w:t>Die Abgeordneten fordern eine ergebnisoffene Prüfung der Kassenzulassung des NIP</w:t>
      </w:r>
      <w:r>
        <w:t xml:space="preserve">T. Ein Expertengremium soll zudem rechtliche, ethische und gesundheitspolitische Fragen bewerten. Der fraktionsübergreifende Antrag wird nun in den zuständigen Ausschüssen beraten. </w:t>
      </w:r>
    </w:p>
    <w:p w:rsidR="009738F3" w:rsidRDefault="0025623A">
      <w:r>
        <w:t>Der Sozialverband VdK teilt die Sorge, dass Pränataldiagnostik immer selbs</w:t>
      </w:r>
      <w:r>
        <w:t xml:space="preserve">tverständlicher wird und die gesellschaftliche Diskussion sich dadurch verändert. „Die Lösung für fehlende Inklusion und Hilfen ist nicht die Ausweitung der Pränataldiagnostik“, erklärt VdK-Präsidentin Verena </w:t>
      </w:r>
      <w:r>
        <w:lastRenderedPageBreak/>
        <w:t>Bentele. Werdende Eltern sollten sich nicht geg</w:t>
      </w:r>
      <w:r>
        <w:t xml:space="preserve">en ein Kind mit Behinderung entscheiden müssen, weil sie wenig Unterstützung befürchten. </w:t>
      </w:r>
    </w:p>
    <w:p w:rsidR="009738F3" w:rsidRDefault="0025623A">
      <w:r>
        <w:t>Bentele begrüßt, dass die Debatte über die NIPT auf breiter Ebene geführt wird. „Politik und Gesellschaft sollten Kinder mit Behinderungen als einen wichtigen Teil de</w:t>
      </w:r>
      <w:r>
        <w:t xml:space="preserve">r menschlichen Vielfalt anerkennen und wertschätzen. Diese Perspektive muss bei den Überlegungen dringend ausreichend berücksichtigt werden.“ </w:t>
      </w:r>
      <w:r>
        <w:rPr>
          <w:b/>
        </w:rPr>
        <w:t>Jörg Ciszewski</w:t>
      </w:r>
    </w:p>
    <w:p w:rsidR="009738F3" w:rsidRDefault="0025623A">
      <w:pPr>
        <w:pStyle w:val="berschrift1"/>
      </w:pPr>
      <w:bookmarkStart w:id="17" w:name="_Toc230066554"/>
      <w:r>
        <w:t>Verordnete Aktivitäten</w:t>
      </w:r>
      <w:bookmarkEnd w:id="17"/>
    </w:p>
    <w:p w:rsidR="009738F3" w:rsidRDefault="0025623A">
      <w:pPr>
        <w:pStyle w:val="Standard-Fett"/>
      </w:pPr>
      <w:r>
        <w:t>Das Soziale Rezept soll einsamen Patientinnen und Patienten helfen</w:t>
      </w:r>
    </w:p>
    <w:p w:rsidR="009738F3" w:rsidRDefault="0025623A">
      <w:pPr>
        <w:pStyle w:val="Vorspann"/>
      </w:pPr>
      <w:r>
        <w:t xml:space="preserve">Einsamkeit belastet Menschen mit einer Erkrankung oft zusätzlich. Das Soziale Rezept soll Hausarztpraxen ermöglichen, ihren Patientinnen und Patienten gesellige Aktivitäten zu verordnen. </w:t>
      </w:r>
    </w:p>
    <w:p w:rsidR="009738F3" w:rsidRDefault="0025623A">
      <w:r>
        <w:t>Johanna H.* war in einer Lebenskrise und litt unter Depressionen, al</w:t>
      </w:r>
      <w:r>
        <w:t>s sie sich bei „KulturLeben“ anmeldete. Der Berliner Verein vermittelt Kulturangebote an Menschen mit geringen Einkommen. Die 73-Jährige verließ wegen der Depression kaum noch das Haus. Ihre Tochter habe ihr damals „einen Schubs“ gegeben und sie auf das An</w:t>
      </w:r>
      <w:r>
        <w:t xml:space="preserve">gebot aufmerksam gemacht, erzählt sie. </w:t>
      </w:r>
    </w:p>
    <w:p w:rsidR="009738F3" w:rsidRDefault="0025623A">
      <w:r>
        <w:t xml:space="preserve">Die Seniorin begann, Kulturveranstaltungen zu besuchen und engagierte sich in dem Verein. „Diese Aktivitäten haben mir geholfen, meine gesundheitlichen Probleme zu überwinden“, sagt sie rückblickend. </w:t>
      </w:r>
    </w:p>
    <w:p w:rsidR="009738F3" w:rsidRDefault="0025623A">
      <w:pPr>
        <w:pStyle w:val="Zwischentitel"/>
      </w:pPr>
      <w:r>
        <w:t>Rückzug ins Pri</w:t>
      </w:r>
      <w:r>
        <w:t>vate</w:t>
      </w:r>
    </w:p>
    <w:p w:rsidR="009738F3" w:rsidRDefault="0025623A">
      <w:r>
        <w:t>Gerade chronische Krankheiten führen oft dazu, dass Menschen sich zurückziehen – teils wegen körperlicher Einschränkungen, teils wegen psychischer Belastungen oder gesellschaftlicher Stigmatisierung. Das bestätigt der Allgemeinmediziner Professor Wolf</w:t>
      </w:r>
      <w:r>
        <w:t>ram Herrmann. Er beschäftigt sich wissenschaftlich mit der Frage, wie im Rahmen einer regulären medizinischen Versorgung soziale Probleme behandelt werden können. „In der Hausarztpraxis finden Patientinnen und Patienten eine vertraute Ansprechperson, bei d</w:t>
      </w:r>
      <w:r>
        <w:t>er auch nicht-medizinische Themen wie Einsamkeit, soziale Isolation, Angst oder Armut auf den Tisch kommen“, sagt Herrmann. Solche Probleme können sich oft negativ auf die Krankheit auswirken oder Symptome verstärken.</w:t>
      </w:r>
    </w:p>
    <w:p w:rsidR="009738F3" w:rsidRDefault="0025623A">
      <w:r>
        <w:t>An dieser Stelle soll das Soziale Reze</w:t>
      </w:r>
      <w:r>
        <w:t>pt ansetzen. Es ermöglicht, dass Patientinnen und Patienten, die sich aufgrund ihrer Krankheit sozial zurückgezogen haben, vom Arzt oder der Ärztin an einen sogenannten Link-Worker („Verbindungsarbeiter“) überwiesen werden. Dabei handelt es sich um eine Fa</w:t>
      </w:r>
      <w:r>
        <w:t xml:space="preserve">chkraft, die eine Berufsausbildung im Gesundheits- oder Sozialbereich hat. Ihre Aufgabe ist es, in Gesprächen herauszufinden, was der erkrankten Person individuell bei der </w:t>
      </w:r>
      <w:r>
        <w:lastRenderedPageBreak/>
        <w:t xml:space="preserve">Behandlung helfen könnte. „Das kann ein Sportverein sein, ein Eltern-Kind-Café oder </w:t>
      </w:r>
      <w:r>
        <w:t>eine Spaziergangsgruppe für Senioren“, erklärt Herrmann. „Die Grundidee des Sozialen Rezepts ist: Die Menschen sollen befähigt werden, selbst aktiv zu werden.“</w:t>
      </w:r>
    </w:p>
    <w:p w:rsidR="009738F3" w:rsidRDefault="0025623A">
      <w:pPr>
        <w:pStyle w:val="Zwischentitel"/>
      </w:pPr>
      <w:r>
        <w:t>Weniger Arztbesuche</w:t>
      </w:r>
    </w:p>
    <w:p w:rsidR="009738F3" w:rsidRDefault="0025623A">
      <w:r>
        <w:t>Unter seiner Federführung hat die Berliner Charité kürzlich eine Studie abge</w:t>
      </w:r>
      <w:r>
        <w:t>schlossen, an der neun Hausarztpraxen in Berlin und Brandenburg teilgenommen haben. 121 Patientinnen und Patienten sind an Link-Worker überwiesen worden. „Wir haben gesehen, dass das Soziale Rezept im hausärztlichen Bereich gut durchführbar ist“, sagt Herr</w:t>
      </w:r>
      <w:r>
        <w:t xml:space="preserve">mann. Nun gehe es darum, die Wirksamkeit zu untersuchen. In Großbritannien sei es bereits flächendeckend eingeführt. Studien zeigen, dass dort die Zahl der Hausarztbesuche zurückgegangen ist. </w:t>
      </w:r>
    </w:p>
    <w:p w:rsidR="009738F3" w:rsidRDefault="0025623A">
      <w:r>
        <w:t>Johanna H. gefällt die Idee des Sozialen Rezepts. „Mein Therape</w:t>
      </w:r>
      <w:r>
        <w:t xml:space="preserve">ut hat sich sehr gefreut, als ich ihm von meinen Aktivitäten mit dem Verein erzählt habe. Sie haben sich positiv auf die Behandlung ausgewirkt.“  </w:t>
      </w:r>
      <w:r>
        <w:rPr>
          <w:b/>
        </w:rPr>
        <w:t>Jörg Ciszewski</w:t>
      </w:r>
    </w:p>
    <w:p w:rsidR="009738F3" w:rsidRDefault="0025623A">
      <w:r>
        <w:t>*Name ist der Redaktion bekannt</w:t>
      </w:r>
    </w:p>
    <w:p w:rsidR="009738F3" w:rsidRDefault="0025623A">
      <w:pPr>
        <w:pStyle w:val="berschrift1"/>
      </w:pPr>
      <w:bookmarkStart w:id="18" w:name="_Toc230066555"/>
      <w:r>
        <w:t>Ein gesunder Lebensstil zahlt sich aus</w:t>
      </w:r>
      <w:bookmarkEnd w:id="18"/>
    </w:p>
    <w:p w:rsidR="009738F3" w:rsidRDefault="0025623A">
      <w:pPr>
        <w:pStyle w:val="Standard-Fett"/>
      </w:pPr>
      <w:r>
        <w:t>Bei Gicht sollte man wen</w:t>
      </w:r>
      <w:r>
        <w:t>ig Fleisch essen und den Alkoholkonsum einschränken</w:t>
      </w:r>
    </w:p>
    <w:p w:rsidR="009738F3" w:rsidRDefault="0025623A">
      <w:pPr>
        <w:pStyle w:val="Vorspann"/>
      </w:pPr>
      <w:r>
        <w:t>Gicht ist eine Stoffwechselerkrankung, die durch Ablagerung von Harnsäurekristallen in Geweben und Gelenken ausgelöst wird. Ursache ist ein erhöhter Harnsäurespiegel im Blut. Zentrales Element einer Thera</w:t>
      </w:r>
      <w:r>
        <w:t>pie ist eine gesunde Ernährung. Internist, Rheumatologe und Ernährungswissenschaftler Prof. Dr. Olaf Adam erklärt, warum das so wichtig ist.</w:t>
      </w:r>
    </w:p>
    <w:p w:rsidR="009738F3" w:rsidRDefault="0025623A">
      <w:r>
        <w:t>Bei einer Gicht bildet der Körper entweder zu viel Harnsäure, oder er scheidet zu wenig über die Nieren aus. In bei</w:t>
      </w:r>
      <w:r>
        <w:t>den Fällen ist der Stoffwechsel aus dem Gleichgewicht. Die überschüssige Harnsäure lagert sich im Körper ab, was schmerzhafte Entzündungen besonders in den Gelenken verursacht. Im weiteren Verlauf der Erkrankung kann es zu dauerhaften Veränderungen von Gel</w:t>
      </w:r>
      <w:r>
        <w:t xml:space="preserve">enken oder Organen kommen. </w:t>
      </w:r>
    </w:p>
    <w:p w:rsidR="009738F3" w:rsidRDefault="0025623A">
      <w:r>
        <w:t xml:space="preserve">Gicht wird durch einen ungesunden Lebensstil mit viel Fleisch, Alkohol und Fruchtzucker sowie Bewegungsmangel gefördert. Oft tritt sie zusammen mit Übergewicht und Stoffwechselstörungen auf. „Eine Gicht bekommen heute etwa drei </w:t>
      </w:r>
      <w:r>
        <w:t>von 100 Deutschen“, berichtet Olaf Adam, Berater der Deutschen Gesellschaft für Ernährungsmedizin (DGEM) bei der Leitlinie Diagnostik und Therapie der Gicht. „Bereits Harnsäurewerte im oberen Normbereich stellen ein Risiko dar.“</w:t>
      </w:r>
    </w:p>
    <w:p w:rsidR="009738F3" w:rsidRDefault="0025623A">
      <w:r>
        <w:lastRenderedPageBreak/>
        <w:t>Wichtig ist es, den Harnsäu</w:t>
      </w:r>
      <w:r>
        <w:t>respiegel im Blut zu senken oder den Anstieg zu bremsen. Das gelingt am besten, wenn man Übergewicht vermeidet und sich purinarm ernährt. Fleisch und Wurst sollte man nur wenig essen. Purinreiche pflanzliche Lebensmittel wie Erbsen und andere Hülsenfrüchte</w:t>
      </w:r>
      <w:r>
        <w:t xml:space="preserve"> sollten nicht öfter als zwei Mal pro Woche auf den Tisch. Der Experte empfiehlt eine pflanzenbasierte Mischkost nach den Vorgaben der Deutschen Gesellschaft für Ernährung (DGE).</w:t>
      </w:r>
    </w:p>
    <w:p w:rsidR="009738F3" w:rsidRDefault="0025623A">
      <w:pPr>
        <w:pStyle w:val="Zwischentitel"/>
      </w:pPr>
      <w:r>
        <w:t>Gemüse statt Fleisch</w:t>
      </w:r>
    </w:p>
    <w:p w:rsidR="009738F3" w:rsidRDefault="0025623A">
      <w:r>
        <w:t>„Ist der Urin sauer, wie das bei einer fleischlastigen E</w:t>
      </w:r>
      <w:r>
        <w:t>rnährung der Fall ist, wird weniger Harnsäure ausgeschieden, und der Harnsäure-Spiegel im Körper steigt an“, erläutert Adam. „Pflanzliche Kost hingegen hilft, die Harnsäure über den Urin auszuscheiden.“ Wichtig ist, ausreichend zu trinken. „Personen mit Gi</w:t>
      </w:r>
      <w:r>
        <w:t xml:space="preserve">cht sind von Nierensteinen bedroht“, erklärt der Mediziner. „Die Trinkmenge sollte zwischen 1,5 und zwei Litern Flüssigkeit pro Tag liegen, bei eingeschränkter Herzleistung sorgfältig über den Tag verteilt.“ </w:t>
      </w:r>
    </w:p>
    <w:p w:rsidR="009738F3" w:rsidRDefault="0025623A">
      <w:r>
        <w:t>Am besten eignen sich Wasser, Früchtetee oder S</w:t>
      </w:r>
      <w:r>
        <w:t>chorle. Vorsicht ist hingegen bei Alkohol angebracht. „Er hemmt die Ausscheidung der Harnsäure und lässt sie extrem schnell ansteigen“, so Adam. „Wenn bereits ein Gichtanfall aufgetreten ist, verzichtet man am besten ganz.“ Auch Medikamente, insbesondere D</w:t>
      </w:r>
      <w:r>
        <w:t xml:space="preserve">iuretika, können einen Anstieg der Harnsäure im Blut bewirken. Adam empfiehlt, die Einnahme mit der Ärztin oder dem Arzt zu besprechen. </w:t>
      </w:r>
    </w:p>
    <w:p w:rsidR="009738F3" w:rsidRDefault="0025623A">
      <w:r>
        <w:t>Menschen mit Übergewicht wird geraten, abzunehmen. „Das sollte aber langsam und unter ärztlicher Kontrolle erfolgen“, w</w:t>
      </w:r>
      <w:r>
        <w:t>arnt Adam. Eine schnelle Gewichtsabnahme kann die Harnsäure erhöhen und Gichtanfälle auslösen.</w:t>
      </w:r>
    </w:p>
    <w:p w:rsidR="009738F3" w:rsidRDefault="0025623A">
      <w:r>
        <w:t>„Eine Ernährungsumstellung nach den Empfehlungen der DGE schützt nicht nur vor Gicht, sondern auch vor anderen Zivilisationskrankheiten“, betont der Mediziner. B</w:t>
      </w:r>
      <w:r>
        <w:t xml:space="preserve">etroffene müssten nicht für immer verzichten. „Wenn die überschüssige Harnsäure nach einiger Zeit aus dem Körper entfernt ist, spricht nichts dagegen, Feste zu feiern.“ Man solle dann jedoch in Maßen genießen. </w:t>
      </w:r>
      <w:r>
        <w:rPr>
          <w:b/>
        </w:rPr>
        <w:t>Annette Liebmann</w:t>
      </w:r>
    </w:p>
    <w:p w:rsidR="009738F3" w:rsidRDefault="0025623A">
      <w:r>
        <w:t xml:space="preserve"> </w:t>
      </w:r>
      <w:hyperlink r:id="rId8">
        <w:r>
          <w:rPr>
            <w:color w:val="0015B7"/>
          </w:rPr>
          <w:t>www.dge.de/gesunde-ernaehrung/gut-essen-und-trinken/dge-empfehlungen</w:t>
        </w:r>
      </w:hyperlink>
    </w:p>
    <w:p w:rsidR="009738F3" w:rsidRDefault="0025623A">
      <w:pPr>
        <w:pStyle w:val="berschrift1"/>
      </w:pPr>
      <w:bookmarkStart w:id="19" w:name="_Toc230066556"/>
      <w:r>
        <w:t>116 117 – die Nummer mit Potenzial</w:t>
      </w:r>
      <w:bookmarkEnd w:id="19"/>
    </w:p>
    <w:p w:rsidR="009738F3" w:rsidRDefault="0025623A">
      <w:pPr>
        <w:pStyle w:val="Standard-Fett"/>
      </w:pPr>
      <w:r>
        <w:t xml:space="preserve">Der Patientenservice berät rund um die Uhr bei gesundheitlichen Beschwerden und </w:t>
      </w:r>
      <w:r>
        <w:t>hilft bei der Suche nach Facharztterminen</w:t>
      </w:r>
    </w:p>
    <w:p w:rsidR="009738F3" w:rsidRDefault="0025623A">
      <w:pPr>
        <w:pStyle w:val="Vorspann"/>
      </w:pPr>
      <w:r>
        <w:lastRenderedPageBreak/>
        <w:t>Wohin können sich Menschen wenden, wenn sie sich krank fühlen, die Arztpraxis aber geschlossen hat? Der Patientenservice 116 117 der Kassenärztlichen Vereinigungen hilft weiter – und bietet noch viel mehr.</w:t>
      </w:r>
    </w:p>
    <w:p w:rsidR="009738F3" w:rsidRDefault="0025623A">
      <w:r>
        <w:t>Freitaga</w:t>
      </w:r>
      <w:r>
        <w:t>bend, der Hals kratzt. Doch in der Hausarztpraxis ist niemand mehr erreichbar. Wer am Abend, am Wochenende oder an Feiertagen mit triefender Nase, Fieber, Hautausschlag oder plötzlich auftretenden Schmerzen zu Hause sitzt, ist oft ratlos und weiß nicht, wo</w:t>
      </w:r>
      <w:r>
        <w:t xml:space="preserve">hin. </w:t>
      </w:r>
    </w:p>
    <w:p w:rsidR="009738F3" w:rsidRDefault="0025623A">
      <w:r>
        <w:t>In solchen Fällen ist der Patientenservice 116 117 ein guter erster Ansprechpartner. Er hilft bei der Einschätzung, ob es sich um harmlose Beschwerden oder um ernstzunehmende gesundheitliche Probleme handelt. Er ist rund um die Uhr erreichbar: telefo</w:t>
      </w:r>
      <w:r>
        <w:t xml:space="preserve">nisch über die bundesweit einheitliche Rufnummer 116 117, online über die Webseite </w:t>
      </w:r>
      <w:hyperlink r:id="rId9">
        <w:r>
          <w:rPr>
            <w:color w:val="0015B7"/>
          </w:rPr>
          <w:t>www.116117.de</w:t>
        </w:r>
      </w:hyperlink>
      <w:r>
        <w:t xml:space="preserve"> oder per App.</w:t>
      </w:r>
    </w:p>
    <w:p w:rsidR="009738F3" w:rsidRDefault="0025623A">
      <w:pPr>
        <w:pStyle w:val="Zwischentitel"/>
      </w:pPr>
      <w:r>
        <w:t>Fachkundiges Personal</w:t>
      </w:r>
    </w:p>
    <w:p w:rsidR="009738F3" w:rsidRDefault="0025623A">
      <w:r>
        <w:t xml:space="preserve">Wer dort anruft, erreicht medizinisch geschulte Fachkräfte. Mithilfe eines </w:t>
      </w:r>
      <w:r>
        <w:t>strukturierten Abfragesystems beurteilen diese die Beschwerden und empfehlen das weitere Vorgehen. Je nach Situation raten die Fachkräfte dazu, am nächsten Werktag die Hausarztpraxis zu kontaktieren, eine geöffnete Bereitschafts- oder Notfallpraxis aufzusu</w:t>
      </w:r>
      <w:r>
        <w:t>chen oder in ernsten Fällen den Notruf 112 zu wählen. Sind Erkrankte nicht mobil, kann der Patientenservice einen Hausbesuch vermitteln.</w:t>
      </w:r>
    </w:p>
    <w:p w:rsidR="009738F3" w:rsidRDefault="0025623A">
      <w:r>
        <w:t>Eine Einschätzung von Beschwerden ist auch digital auf der Webseite und in der App des Patientenservice möglich. Betrof</w:t>
      </w:r>
      <w:r>
        <w:t>fene beantworten über das sogenannte Patienten-Navi Fragen zu Beschwerden, deren Dauer und Stärke. Dann erhalten sie eine Empfehlung.</w:t>
      </w:r>
    </w:p>
    <w:p w:rsidR="009738F3" w:rsidRDefault="0025623A">
      <w:r>
        <w:t>Der Patientenservice kann zudem bei der Suche nach Arztterminen oder Praxen unterstützen. In der bundesweiten Arztsuche lä</w:t>
      </w:r>
      <w:r>
        <w:t xml:space="preserve">sst sich nach Fachrichtungen oder Fremdsprachenkenntnissen filtern. Zusätzlich vermitteln die dort angesiedelten Terminservicestellen (TSS) Termine bei Fachärztinnen und Fachärzten. </w:t>
      </w:r>
    </w:p>
    <w:p w:rsidR="009738F3" w:rsidRDefault="0025623A">
      <w:r>
        <w:t>Gesetzlich Versicherte sollen über die TSS innerhalb einer Woche einen Te</w:t>
      </w:r>
      <w:r>
        <w:t xml:space="preserve">rmin erhalten, der maximal vier Wochen in der Zukunft und in zumutbarer Entfernung liegt. Kann die TSS keinen solchen Termin vermitteln, muss sie einen ambulanten Behandlungstermin in einem Krankenhaus organisieren. Betroffene haben jedoch keinen Anspruch </w:t>
      </w:r>
      <w:r>
        <w:t>auf einen Termin in ihrer Wunschpraxis.</w:t>
      </w:r>
    </w:p>
    <w:p w:rsidR="009738F3" w:rsidRDefault="0025623A">
      <w:r>
        <w:t>Für fachärztliche Behandlungen kann die Hausärztin oder der Hausarzt eine Überweisung mit Dringlichkeitscode ausstellen. Die Voraussetzung: Eine Behandlung innerhalb eines Monats ist medizinisch notwendig. In dringen</w:t>
      </w:r>
      <w:r>
        <w:t>deren Fällen soll der Termin innerhalb von zwei Wochen stattfinden.</w:t>
      </w:r>
    </w:p>
    <w:p w:rsidR="009738F3" w:rsidRDefault="0025623A">
      <w:r>
        <w:t>Termine in der Allgemeinmedizin, in der Augen-, Frauen- und Kinderheilkunde sowie für psychotherapeutische Erstgespräche vermitteln die TSS direkt – ohne Überweisung oder Dringlichkeitscod</w:t>
      </w:r>
      <w:r>
        <w:t>e. Zahnarzttermine gehören hingegen nicht zu ihrem Angebot.</w:t>
      </w:r>
    </w:p>
    <w:p w:rsidR="009738F3" w:rsidRDefault="0025623A">
      <w:pPr>
        <w:pStyle w:val="Zwischentitel"/>
      </w:pPr>
      <w:r>
        <w:t>Wichtiger Lotse</w:t>
      </w:r>
    </w:p>
    <w:p w:rsidR="009738F3" w:rsidRDefault="0025623A">
      <w:r>
        <w:t xml:space="preserve">Dem Patientenservice 116 117 kommt eine wichtige Lotsenfunktion im Gesundheitssystem zu. Denn er kann dazu beitragen, die Notaufnahmen zu entlasten. Studien und Umfragen zufolge </w:t>
      </w:r>
      <w:r>
        <w:lastRenderedPageBreak/>
        <w:t>si</w:t>
      </w:r>
      <w:r>
        <w:t xml:space="preserve">nd viele Patientinnen und Patienten, die sich an die Notaufnahmen wenden, keine akuten Notfälle – manche Schätzungen gehen von bis zu 60 Prozent aus. Die Folge sind überfüllte Wartebereiche, lange Wartezeiten und überlastete Notfallteams, die weniger Zeit </w:t>
      </w:r>
      <w:r>
        <w:t>für lebensbedrohliche Fälle haben.</w:t>
      </w:r>
    </w:p>
    <w:p w:rsidR="009738F3" w:rsidRDefault="0025623A">
      <w:r>
        <w:t>Es ist geplant, die 116 117 zur zentralen Akutleitstelle für Ersteinschätzungen auszubauen. Wer hier eine Weiterleitung bescheinigt bekommt, soll in den neuen integrierten Notfallzentren bevorzugt behandelt werden. Werden</w:t>
      </w:r>
      <w:r>
        <w:t xml:space="preserve"> diese Pläne umgesetzt, wird die 116 117 in Zukunft zu einem wichtigen Wegweiser durch das Gesundheitssystem. </w:t>
      </w:r>
      <w:r>
        <w:rPr>
          <w:b/>
        </w:rPr>
        <w:t>Kristin Enge</w:t>
      </w:r>
    </w:p>
    <w:p w:rsidR="009738F3" w:rsidRDefault="0025623A">
      <w:pPr>
        <w:pStyle w:val="berschrift1"/>
      </w:pPr>
      <w:bookmarkStart w:id="20" w:name="_Toc230066557"/>
      <w:r>
        <w:t>Meningitis – einegroße Gefahr</w:t>
      </w:r>
      <w:bookmarkEnd w:id="20"/>
    </w:p>
    <w:p w:rsidR="009738F3" w:rsidRDefault="0025623A">
      <w:pPr>
        <w:pStyle w:val="Vorspann"/>
      </w:pPr>
      <w:r>
        <w:t>Hinter Fieber und Kopfschmerzen kann eine Erkältung oder Grippe stecken, aber auch eine Meningitis. Ang</w:t>
      </w:r>
      <w:r>
        <w:t>esichts der Meningitisfälle in Südengland im März rückt die Erkrankung in den Fokus.</w:t>
      </w:r>
    </w:p>
    <w:p w:rsidR="009738F3" w:rsidRDefault="0025623A">
      <w:r>
        <w:t>Eine Meningitis oder Hirnhautentzündung kann durch Viren, wie beispielsweise Herpes-Erreger oder Erreger von Mumps, Masern oder Röteln, aber vor allem auch durch Bakterien</w:t>
      </w:r>
      <w:r>
        <w:t xml:space="preserve"> wie Meningokokken oder Pneumokokken verursacht werden. Die bakterielle Form der Meningitis ist deutlich gefährlicher.</w:t>
      </w:r>
    </w:p>
    <w:p w:rsidR="009738F3" w:rsidRDefault="0025623A">
      <w:pPr>
        <w:pStyle w:val="Zwischentitel"/>
      </w:pPr>
      <w:r>
        <w:t>Schnell behandeln</w:t>
      </w:r>
    </w:p>
    <w:p w:rsidR="009738F3" w:rsidRDefault="0025623A">
      <w:r>
        <w:t>Der Auslöser des Meningitisausbruchs in Südengland waren Meningokokken der Gruppe B. Hierzu teilt die Deutsche Gesellsc</w:t>
      </w:r>
      <w:r>
        <w:t>haft für Neurologie (DGN) mit: „Der Erreger ist hochansteckend und führt zur Entzündung der Hirnhäute und wenig später auch des Gehirns – man spricht dann von einer Meningoenzephalitis.“ Wird zu spät behandelt, kann das zu schweren Spätfolgen und sogar zum</w:t>
      </w:r>
      <w:r>
        <w:t xml:space="preserve"> Tod führen. Die DGN: „Typische Spätfolgen dieser neurologischen Infektionskrankheit sind Lähmungen, Sprach- und Gedächtnisstörungen bis hin zu einer Demenz, aber auch Ausfälle einzelner Hirnnerven. Je nachdem, welcher Hirnnerv betroffen ist, können Sehstö</w:t>
      </w:r>
      <w:r>
        <w:t>rungen oder ein Hörverlust zurückbleiben.“</w:t>
      </w:r>
    </w:p>
    <w:p w:rsidR="009738F3" w:rsidRDefault="0025623A">
      <w:r>
        <w:t>Anfangs werden die Symptome oft mit denen eines harmlosen grippalen Infekts verwechselt. „Aber spätestens, wenn neben Kopfschmerzen auch Bewusstseinsstörungen oder neurologische Symptome wie epileptische Anfälle a</w:t>
      </w:r>
      <w:r>
        <w:t xml:space="preserve">uftreten, muss an eine Meningitis gedacht werden. Betroffene sollten keine Zeit verlieren und die 112 wählen“, sagt Prof. Dr. Peter Berlit, Generalsekretär der DGN. Therapiert wird bei bakteriellen Infektionen mit Antibiotika. „Bei Personen mit vermuteter </w:t>
      </w:r>
      <w:r>
        <w:t>bakterieller Meningitis und neurologischen Symptomen wird die Antibiotika-Therapie sogar begonnen, bevor überhaupt die bestätigte Diagnose vorliegt“, sagt Berlit. Bei der Akutbehandlung zählt jede Minute. Aber natürlich ist vorbeugen besser als heilen. Dah</w:t>
      </w:r>
      <w:r>
        <w:t>er rät die DGN zur Impfung gemäß den aktuellen RKI/STIKO-Empfehlungen.</w:t>
      </w:r>
    </w:p>
    <w:p w:rsidR="009738F3" w:rsidRDefault="0025623A">
      <w:pPr>
        <w:pStyle w:val="Zwischentitel"/>
      </w:pPr>
      <w:r>
        <w:t>Ärzte fragen</w:t>
      </w:r>
    </w:p>
    <w:p w:rsidR="009738F3" w:rsidRDefault="0025623A">
      <w:r>
        <w:t>Die Impfung gegen Meningokokken der Gruppe B ist in Deutschland seit Anfang 2024 eine offizielle Empfehlung für alle Säuglinge. Sowohl bei Meningokokken als auch bei Pneumo</w:t>
      </w:r>
      <w:r>
        <w:t xml:space="preserve">kokken </w:t>
      </w:r>
      <w:r>
        <w:lastRenderedPageBreak/>
        <w:t>gibt es zahlreiche Untergruppen. Impfstoffe helfen jeweils nur gegen bestimmte Gruppen. Kinder- oder Hausärztinnen und -ärzte sind hier – je nach Alter – die Ansprechpartner. Sie wissen auch, welche Impfungen von der gesetzlichen Krankenkasse bezahl</w:t>
      </w:r>
      <w:r>
        <w:t>t werden.</w:t>
      </w:r>
    </w:p>
    <w:p w:rsidR="009738F3" w:rsidRDefault="0025623A">
      <w:r>
        <w:t xml:space="preserve">Die Partnerorganisation der DGN, die Deutsche Hirnstiftung, bietet Informationen für Betroffene und Angehörige zu neurologischen Erkrankungen. Sie informiert unabhängig und auf Basis des neuesten Stands der Forschung: </w:t>
      </w:r>
      <w:hyperlink r:id="rId10">
        <w:r>
          <w:rPr>
            <w:color w:val="0015B7"/>
          </w:rPr>
          <w:t>www.hirnstiftung.org</w:t>
        </w:r>
      </w:hyperlink>
      <w:r>
        <w:t xml:space="preserve"> </w:t>
      </w:r>
      <w:r>
        <w:rPr>
          <w:b/>
        </w:rPr>
        <w:t>pet</w:t>
      </w:r>
    </w:p>
    <w:p w:rsidR="009738F3" w:rsidRDefault="0025623A">
      <w:pPr>
        <w:pStyle w:val="berschrift1"/>
      </w:pPr>
      <w:bookmarkStart w:id="21" w:name="_Toc230066558"/>
      <w:r>
        <w:t>Rauchen kann die Augen schädigen</w:t>
      </w:r>
      <w:bookmarkEnd w:id="21"/>
    </w:p>
    <w:p w:rsidR="009738F3" w:rsidRDefault="0025623A">
      <w:pPr>
        <w:pStyle w:val="Standard-Fett"/>
      </w:pPr>
      <w:r>
        <w:t>Deutsche Ophthalmologische Gesellschaft warnt davor, mögliche Auswirkungen zu unterschätzen</w:t>
      </w:r>
    </w:p>
    <w:p w:rsidR="009738F3" w:rsidRDefault="0025623A">
      <w:pPr>
        <w:pStyle w:val="Vorspann"/>
      </w:pPr>
      <w:r>
        <w:t>Zu den größten vermeidbaren Gefahren für die Augengesundheit gehört das Rauchen, warnt</w:t>
      </w:r>
      <w:r>
        <w:t xml:space="preserve"> die auf Augenheilkunde spezialisierte Deutsche Ophthalmologische Gesellschaft. Jede fünfte neue Erblindung ab dem 50. Lebensjahr sei darauf zurückzuführen.</w:t>
      </w:r>
    </w:p>
    <w:p w:rsidR="009738F3" w:rsidRDefault="0025623A">
      <w:r>
        <w:t>Rauchen erhöht das Risiko für schwere Augenerkrankungen, wie die altersabhängige Makuladegeneration</w:t>
      </w:r>
      <w:r>
        <w:t xml:space="preserve"> (AMD), den Grünen Star und Gefäßverschlüsse, um das Zwei- bis Vierfache, betont die DOG und verweist auf Ergebnisse aktueller Studien. Auch Kinder, deren Mütter während der Schwangerschaft rauchen, entwickeln häufiger Augenfehlbildungen und Sehstörungen. </w:t>
      </w:r>
      <w:r>
        <w:t xml:space="preserve">Doch es gibt auch eine gute Nachricht: Wer mit dem Rauchen aufhört – egal, in welchem Alter –, reduziert das Risiko sofort und nachhaltig. </w:t>
      </w:r>
    </w:p>
    <w:p w:rsidR="009738F3" w:rsidRDefault="0025623A">
      <w:pPr>
        <w:pStyle w:val="Zwischentitel"/>
      </w:pPr>
      <w:r>
        <w:t>Beschleunigte Prozesse</w:t>
      </w:r>
    </w:p>
    <w:p w:rsidR="009738F3" w:rsidRDefault="0025623A">
      <w:r>
        <w:t>Viele Augenerkrankungen entwickeln sich schleichend. Doch Rauchen beschleunigt diese Prozesse</w:t>
      </w:r>
      <w:r>
        <w:t xml:space="preserve"> massiv. Die Vielzahl giftiger Substanzen im Tabakrauch greift nahezu alle Strukturen des Auges an, beeinträchtigt die Durchblutung, fördert Entzündungen und schädigt Nervenzellen. „Während aber die Risiken für Herz und Lunge bekannt sind, wird der Einflus</w:t>
      </w:r>
      <w:r>
        <w:t>s des Rauchens auf das Sehvermögen in der öffentlichen Wahrnehmung deutlich unterschätzt“, sagt Professorin Dr. Teresa Barth von der Universitäts-Augenklinik Regensburg. Schon wenige Zigaretten am Tag können messbare Schäden verursachen.</w:t>
      </w:r>
    </w:p>
    <w:p w:rsidR="009738F3" w:rsidRDefault="0025623A">
      <w:r>
        <w:t>Besonders deutlich</w:t>
      </w:r>
      <w:r>
        <w:t xml:space="preserve"> sind die Auswirkungen bei der AMD. Rauchen verdoppelt bis verdreifacht das Erkrankungsrisiko, auch treten erste Krankheitsanzeichen bis zu zehn Jahre früher auf. Das Risiko, an einem Grünen Star zu erkranken, wird durch Rauchen verdoppelt. Denn Tabakrauch</w:t>
      </w:r>
      <w:r>
        <w:t xml:space="preserve"> wirkt direkt schädlich auf Sehnerv und Strukturen, die den Augendruck regulieren. Fortgesetzter Zigarettenkonsum beschleunigt zudem den Verlust von Nervenfasern und damit das Fortschreiten der Erkrankung. „Kein anderer Lebensstilfaktor beeinträchtigt das </w:t>
      </w:r>
      <w:r>
        <w:t xml:space="preserve">Auge in so vielen Bereichen wie das Rauchen“, mahnt die Expertin.  </w:t>
      </w:r>
      <w:r>
        <w:rPr>
          <w:b/>
        </w:rPr>
        <w:t>Mirko Besch</w:t>
      </w:r>
    </w:p>
    <w:p w:rsidR="009738F3" w:rsidRDefault="0025623A">
      <w:pPr>
        <w:pStyle w:val="berschrift1"/>
      </w:pPr>
      <w:bookmarkStart w:id="22" w:name="_Toc230066559"/>
      <w:r>
        <w:lastRenderedPageBreak/>
        <w:t>Fürsorge als weibliche Armutsfalle</w:t>
      </w:r>
      <w:bookmarkEnd w:id="22"/>
    </w:p>
    <w:p w:rsidR="009738F3" w:rsidRDefault="0025623A">
      <w:pPr>
        <w:pStyle w:val="Standard-Fett"/>
      </w:pPr>
      <w:r>
        <w:t>Reform des Ehegattensplittings – Chance für mehr Gleichstellung, Familienförderung und weniger Armut</w:t>
      </w:r>
    </w:p>
    <w:p w:rsidR="009738F3" w:rsidRDefault="0025623A">
      <w:pPr>
        <w:pStyle w:val="Vorspann"/>
      </w:pPr>
      <w:r>
        <w:t xml:space="preserve">Ein Partner arbeitet in Vollzeit, der </w:t>
      </w:r>
      <w:r>
        <w:t>andere kümmert sich um Kinder, Haushalt oder pflegebedürftige Angehörige. Bis heute begünstigt das Ehegattensplitting diese klassische Aufgabenverteilung bei Ehepaaren. Obwohl das Modell in der Familie gut funktionieren kann, hat es auch Schattenseiten.</w:t>
      </w:r>
    </w:p>
    <w:p w:rsidR="009738F3" w:rsidRDefault="0025623A">
      <w:r>
        <w:t>Vo</w:t>
      </w:r>
      <w:r>
        <w:t>r allem Frauen leisten über Jahre hinweg unbezahlte Sorgearbeit, sind in Teilzeit erwerbstätig und vom Einkommen des Partners abhängig. „Wir erleben immer wieder, wie eng fehlende finanzielle Eigenständigkeit und niedrige Renten miteinander verknüpft sind.</w:t>
      </w:r>
      <w:r>
        <w:t xml:space="preserve"> Eine häufige Folge ist Altersarmut“, sagt VdK-Präsidentin Verena Bentele. </w:t>
      </w:r>
    </w:p>
    <w:p w:rsidR="009738F3" w:rsidRDefault="0025623A">
      <w:r>
        <w:t xml:space="preserve">An sich klingt die Idee des Ehegattensplittings nachvollziehbar und gerecht: Verfügen Ehepaare über das gleiche Gesamteinkommen, sollen sie unabhängig von der Einkommensverteilung </w:t>
      </w:r>
      <w:r>
        <w:t>gleich viel Steuern zahlen. Über Jahre können sich daraus jedoch auch negative Folgen ergeben.</w:t>
      </w:r>
    </w:p>
    <w:p w:rsidR="009738F3" w:rsidRDefault="0025623A">
      <w:pPr>
        <w:pStyle w:val="Zwischentitel"/>
      </w:pPr>
      <w:r>
        <w:t>Weniger netto</w:t>
      </w:r>
    </w:p>
    <w:p w:rsidR="009738F3" w:rsidRDefault="0025623A">
      <w:r>
        <w:t>Wer das Ehegattensplitting nutzt, kombiniert in der Regel die Steuerklassen drei und fünf. Der Hauptverdiener – meist der Mann – zahlt in der Steue</w:t>
      </w:r>
      <w:r>
        <w:t>rklasse drei vergleichsweise wenig Steuern. Für die Frau als Zweitverdienerin fällt in der Steuerklasse fünf die Steuerlast höher aus und schmälert ihr monatliches Nettoeinkommen. Zugleich schrumpfen ihre Ansprüche beim Eltern-, Kranken- und Arbeitslosenge</w:t>
      </w:r>
      <w:r>
        <w:t>ld I. Trotzdem lohnt es sich für viele betroffene Frauen kaum, mehr zu arbeiten. Denn vom zusätzlichen Verdienst bleibt oft weniger übrig als erwartet.</w:t>
      </w:r>
    </w:p>
    <w:p w:rsidR="009738F3" w:rsidRDefault="0025623A">
      <w:r>
        <w:t>Besonders stark profitieren Ehepaare mit hohen und unterschiedlich verteilten Einkommen vom Ehegattenspl</w:t>
      </w:r>
      <w:r>
        <w:t xml:space="preserve">itting. Bei Familien, die weniger verdienen oder sich Erwerbs- und Sorgearbeit partnerschaftlich aufteilen, fallen die Vorteile meist geringer aus. Hinzu kommt: Das Ehegattensplitting knüpft allein an die Ehe an – nicht an Kinder oder an eine tatsächliche </w:t>
      </w:r>
      <w:r>
        <w:t>Sorgeverantwortung. Alleinerziehende und unverheiratete Eltern profitieren daher kaum oder gar nicht.</w:t>
      </w:r>
    </w:p>
    <w:p w:rsidR="009738F3" w:rsidRDefault="0025623A">
      <w:r>
        <w:t>Frauen leisten im Durchschnitt deutlich mehr unbezahlte Sorgearbeit als Männer. In der Regel übernehmen sie die Fürsorge, wenn Betreuungsangebote für Kind</w:t>
      </w:r>
      <w:r>
        <w:t>er oder pflegebedürftige Angehörige fehlen. Viele Paare entscheiden sich aufgrund des oft höheren Einkommens des Mannes für diese Variante. Die Folgen für die Frauen zeigen sich im Alter mit geringeren Rentenansprüchen und einem erhöhten Armutsrisiko.</w:t>
      </w:r>
    </w:p>
    <w:p w:rsidR="009738F3" w:rsidRDefault="0025623A">
      <w:r>
        <w:t xml:space="preserve">Besonders schwierig ist die Situation für Frauen nach einer Trennung oder im Todesfall des Partners. Plötzlich müssen sie ihren Lebensunterhalt allein sichern, obwohl sie für die Familie über Jahre auf eine eigene Erwerbsarbeit verzichtet haben. </w:t>
      </w:r>
    </w:p>
    <w:p w:rsidR="009738F3" w:rsidRDefault="0025623A">
      <w:r>
        <w:lastRenderedPageBreak/>
        <w:t>Der Sozia</w:t>
      </w:r>
      <w:r>
        <w:t>lverband VdK sieht die aktuellen politischen Debatten zur Reform des Ehegattensplittings als Chance: „Wir brauchen eine Besteuerung, die die heutige Lebenswirklichkeit besser abbildet und Sorgearbeit stärker anerkennt – unabhängig von einem Trauschein“, sa</w:t>
      </w:r>
      <w:r>
        <w:t xml:space="preserve">gt Bentele. Alleinerziehende, unverheiratete Eltern oder Patchwork-Familien tragen ebenso Verantwortung für Kinder und Angehörige wie verheiratete Paare. </w:t>
      </w:r>
    </w:p>
    <w:p w:rsidR="009738F3" w:rsidRDefault="0025623A">
      <w:pPr>
        <w:pStyle w:val="Zwischentitel"/>
      </w:pPr>
      <w:r>
        <w:t>Nicht schlechterstellen</w:t>
      </w:r>
    </w:p>
    <w:p w:rsidR="009738F3" w:rsidRDefault="0025623A">
      <w:r>
        <w:t>„Ehepaare, die ihr Leben mit dem Ehegattensplitting aufgebaut haben, dürfen j</w:t>
      </w:r>
      <w:r>
        <w:t>edoch finanziell nicht bestraft werden“, fordert Bentele. Eine Reform muss einen Bestandsschutz oder gerechte Übergangsregelungen beinhalten. Frauen sollten nicht aufgrund geleisteter Sorge- oder Pflegearbeit benachteiligt werden.</w:t>
      </w:r>
    </w:p>
    <w:p w:rsidR="009738F3" w:rsidRDefault="0025623A">
      <w:r>
        <w:t>Ziel einer Reform muss ei</w:t>
      </w:r>
      <w:r>
        <w:t>ne gerechtere Förderung aller Familien sein. Sie muss Anreize setzen für mehr Gleichstellung und eine stärkere eigenständige Existenzsicherung – für Frauen und Männer. Neben einer Reform des Ehegattensplittings braucht es bessere Kinderbetreuung, mehr Unte</w:t>
      </w:r>
      <w:r>
        <w:t xml:space="preserve">rstützung für pflegende Angehörige und mehr sozialversicherungspflichtige Beschäftigung statt Minijobs. </w:t>
      </w:r>
      <w:r>
        <w:rPr>
          <w:b/>
        </w:rPr>
        <w:t>Kristin Enge</w:t>
      </w:r>
    </w:p>
    <w:p w:rsidR="009738F3" w:rsidRDefault="0025623A">
      <w:pPr>
        <w:pStyle w:val="berschrift1"/>
      </w:pPr>
      <w:bookmarkStart w:id="23" w:name="_Toc230066560"/>
      <w:r>
        <w:t>Die KI macht, was wir ihr beibringen</w:t>
      </w:r>
      <w:bookmarkEnd w:id="23"/>
    </w:p>
    <w:p w:rsidR="009738F3" w:rsidRDefault="0025623A">
      <w:pPr>
        <w:pStyle w:val="Standard-Fett"/>
      </w:pPr>
      <w:r>
        <w:t>Chatbots sollten nicht mit einem Lebensberater verwechselt werden</w:t>
      </w:r>
    </w:p>
    <w:p w:rsidR="009738F3" w:rsidRDefault="0025623A">
      <w:pPr>
        <w:pStyle w:val="Vorspann"/>
      </w:pPr>
      <w:r>
        <w:t xml:space="preserve">Künstliche Intelligenz (KI) wird in </w:t>
      </w:r>
      <w:r>
        <w:t xml:space="preserve">vielen Bereichen eingesetzt. Ihr Einfluss auf die Wirtschaft wächst rasant. Aus dem gesellschaftlichen Leben ist sie nicht mehr wegzudenken. </w:t>
      </w:r>
    </w:p>
    <w:p w:rsidR="009738F3" w:rsidRDefault="0025623A">
      <w:r>
        <w:t>Immer wieder setzt sich die Kulturlandschaft mit Unbehagen mit dem Einfluss von KI auseinander. So befürchten manc</w:t>
      </w:r>
      <w:r>
        <w:t>he, dass es vielleicht bald keine Übersetzerinnen und Übersetzer für Literatur mehr braucht. Andere setzen KI bewusst für ihr kreatives Schaffen ein – wie der Künstler Miguel Chevalier. In der Ausstellung „Digital by Nature“ waren kürzlich in der Kunsthall</w:t>
      </w:r>
      <w:r>
        <w:t>e München viele seiner Werke zu bewundern. Der Franco-Mexikaner verwendet bereits seit den 1980er-Jahren Computertechnik für seine Kunst. Er lässt sich seit jeher von der Natur und deren Lebewesen und Strukturen inspirieren. Spannend sind für ihn Fraktale,</w:t>
      </w:r>
      <w:r>
        <w:t xml:space="preserve"> also mathematische Muster, die etwa Farnblätter und Schneeflocken erzeugen, sowie Netzwerke. Zahlreiche Bilder hat Chevalier am PC bearbeitet.</w:t>
      </w:r>
    </w:p>
    <w:p w:rsidR="009738F3" w:rsidRDefault="0025623A">
      <w:pPr>
        <w:pStyle w:val="Zwischentitel"/>
      </w:pPr>
      <w:r>
        <w:t>Kreatives Werkzeug</w:t>
      </w:r>
    </w:p>
    <w:p w:rsidR="009738F3" w:rsidRDefault="0025623A">
      <w:r>
        <w:t>Auch mit KI experimentiert der heute 67-Jährige. Sie dient ihm als Werkzeug, um seine digital</w:t>
      </w:r>
      <w:r>
        <w:t xml:space="preserve">en Fantasiewelten entstehen zu lassen. In der Münchner Schau verwandelten sich Wände in leuchtend bunte, sich verändernde Muster. Diese wurden durch Algorithmen ständig neu produziert. Der Clou: Besucherinnen und Besucher konnten mit den Video- und </w:t>
      </w:r>
      <w:r>
        <w:lastRenderedPageBreak/>
        <w:t>Klangin</w:t>
      </w:r>
      <w:r>
        <w:t xml:space="preserve">stallationen interagieren. Wer sich ihnen näherte und sich bewegte, veränderte Muster sowie die Geräusche. Viele schritten vor den Wänden auf und ab und berührten sie, um zu testen, wie sich die Projektion dadurch verändert. (siehe </w:t>
      </w:r>
      <w:hyperlink r:id="rId11">
        <w:r>
          <w:rPr>
            <w:color w:val="0015B7"/>
          </w:rPr>
          <w:t>kunsthallemuc.de/chevalier</w:t>
        </w:r>
      </w:hyperlink>
      <w:r>
        <w:t>)</w:t>
      </w:r>
    </w:p>
    <w:p w:rsidR="009738F3" w:rsidRDefault="0025623A">
      <w:r>
        <w:t>Doch nicht jede Nutzung von KI dient der kreativen Erweiterung. Während uns der Multimediakünstler im realen (Ausstellungs-) Raum sinnlichen Genuss verschafft, steht der Nutzen von virtuellen Assist</w:t>
      </w:r>
      <w:r>
        <w:t>enten in alltäglichen Bereichen auf einem ganz anderen Blatt. Chatbots dienen immer mehr Menschen als Lebensberater und werden mit sozialen Beziehungen verwechselt. Expertinnen und Experten warnen daher davor, solchen KI-Assistenten soziale Eigenschaften z</w:t>
      </w:r>
      <w:r>
        <w:t>uzuschreiben. Doch es ist gar nicht leicht, hier eine Grenze zu ziehen. Denn einige Chatbots sind so programmiert, dass sie der Nutzerin oder dem Nutzer schmeicheln, sie oder ihn bestärken. Hinter den Algorithmen stecken jedoch große Tech-Unternehmen mit w</w:t>
      </w:r>
      <w:r>
        <w:t xml:space="preserve">irtschaftlichen Interessen. </w:t>
      </w:r>
    </w:p>
    <w:p w:rsidR="009738F3" w:rsidRDefault="0025623A">
      <w:r>
        <w:t>In dem Begleitheft für Kinder zur Ausstellung von Miguel Chevalier wird klargestellt: „KI ist ein Computerprogramm, das von sich aus Neues schaffen kann. Eine KI hat keine Gefühle oder Gedanken. Sie macht nur, was wir ihr beibr</w:t>
      </w:r>
      <w:r>
        <w:t xml:space="preserve">ingen.“  </w:t>
      </w:r>
      <w:r>
        <w:rPr>
          <w:b/>
        </w:rPr>
        <w:t>Elisabeth Antritter</w:t>
      </w:r>
    </w:p>
    <w:p w:rsidR="009738F3" w:rsidRDefault="0025623A">
      <w:pPr>
        <w:pStyle w:val="berschrift1"/>
      </w:pPr>
      <w:bookmarkStart w:id="24" w:name="_Toc230066561"/>
      <w:r>
        <w:t>Rentenalter undLebenserwartung</w:t>
      </w:r>
      <w:bookmarkEnd w:id="24"/>
    </w:p>
    <w:p w:rsidR="009738F3" w:rsidRDefault="0025623A">
      <w:pPr>
        <w:pStyle w:val="Vorspann"/>
      </w:pPr>
      <w:r>
        <w:t>Immer wieder werden in Deutschland Forderungen laut, die Regelaltersgrenze an die Entwicklung der Lebenserwartung zu koppeln. Aktuelle Zahlen der Bundesregierung zeigen jedoch, dass das Rentenalte</w:t>
      </w:r>
      <w:r>
        <w:t>r derzeit schneller steigt als die Lebenserwartung.</w:t>
      </w:r>
    </w:p>
    <w:p w:rsidR="009738F3" w:rsidRDefault="0025623A">
      <w:r>
        <w:t>Wer in Deutschland heute 65 Jahre alt ist, hat laut Statistik noch durchschnittlich etwa 19,4 weitere Lebensjahre vor sich. Dieser Wert für den Zeitraum 2022 bis 2024 liegt – trotz zwischenzeitlicher Schw</w:t>
      </w:r>
      <w:r>
        <w:t xml:space="preserve">ankungen – in etwa auf dem Stand von vor zehn Jahren. In diesem Zeitraum wurde die Regelaltersgrenze, also das Alter, in dem Beschäftigte regulär und ohne Abschläge in Rente gehen können, schrittweise angehoben. Seit 2012 ist sie bereits mehr als ein Jahr </w:t>
      </w:r>
      <w:r>
        <w:t>gestiegen, bis 2031 wird sie auf 67 Jahre erhöht. Damit wächst das gesetzliche Renteneintrittsalter derzeit schneller als die statistisch gemessene Lebenserwartung im höheren Alter.</w:t>
      </w:r>
    </w:p>
    <w:p w:rsidR="009738F3" w:rsidRDefault="0025623A">
      <w:r>
        <w:t>Der Sozialverband VdK spricht sich gegen pauschale Erhöhungen der Regelalt</w:t>
      </w:r>
      <w:r>
        <w:t xml:space="preserve">ersgrenze aus. Stattdessen braucht es sozial gerechte Lösungen, die die tatsächlichen Lebens- und Arbeitsbedingungen der Menschen berücksichtigen. Ziel muss es sein, dass mehr Menschen gesund und zufrieden bis zur Rente mit 67 arbeiten können. Grundlegend </w:t>
      </w:r>
      <w:r>
        <w:t xml:space="preserve">dafür sind neben dem Ausbau von Reha-Angeboten mehr altersgerechte Arbeitsplätze. </w:t>
      </w:r>
      <w:r>
        <w:rPr>
          <w:b/>
        </w:rPr>
        <w:t>ken</w:t>
      </w:r>
    </w:p>
    <w:p w:rsidR="009738F3" w:rsidRDefault="0025623A">
      <w:pPr>
        <w:pStyle w:val="berschrift1"/>
      </w:pPr>
      <w:bookmarkStart w:id="25" w:name="_Toc230066562"/>
      <w:r>
        <w:lastRenderedPageBreak/>
        <w:t>„Krankheiten werden übersehen“</w:t>
      </w:r>
      <w:bookmarkEnd w:id="25"/>
    </w:p>
    <w:p w:rsidR="009738F3" w:rsidRDefault="0025623A">
      <w:pPr>
        <w:pStyle w:val="Standard-Fett"/>
      </w:pPr>
      <w:r>
        <w:t>In der Gesundheitsversorgung passen Standard-Angebote oft nicht zu den Bedürfnissen von Menschen mit Behinderung</w:t>
      </w:r>
    </w:p>
    <w:p w:rsidR="009738F3" w:rsidRDefault="0025623A">
      <w:pPr>
        <w:pStyle w:val="Vorspann"/>
      </w:pPr>
      <w:r>
        <w:t>Dr. Jörg Stockmann ist Int</w:t>
      </w:r>
      <w:r>
        <w:t>ernist und Chefarzt der Klinik für Inklusive Medizin am Evangelischen Krankenhaus Hagen-Haspe. In der VdK-Zeitung erklärt er, was die medizinische Versorgung von Menschen mit Behinderung für ihn bedeutet.</w:t>
      </w:r>
    </w:p>
    <w:p w:rsidR="009738F3" w:rsidRDefault="0025623A">
      <w:pPr>
        <w:pStyle w:val="Interview-Frage"/>
      </w:pPr>
      <w:r>
        <w:t>Was bedeutet ‚inklusive Medizin‘ für Sie konkret im</w:t>
      </w:r>
      <w:r>
        <w:t xml:space="preserve"> Klinikalltag?</w:t>
      </w:r>
    </w:p>
    <w:p w:rsidR="009738F3" w:rsidRDefault="0025623A">
      <w:r>
        <w:t>Jeder Mensch im Krankenhaus bekommt die bestmögliche Medizin, die genau für diese Person passt. Unser Anspruch: Alter, Geschlecht, Behinderung oder etwa Kooperationsfähigkeit dürfen keine Rolle spielen. Patientinnen und Patienten, Angehörige</w:t>
      </w:r>
      <w:r>
        <w:t xml:space="preserve"> und das Umfeld der uns anvertrauten Menschen werden intensiv einbezogen. Kommunikationsbarrieren hindern uns nicht, verstehen zu wollen. Respekt vor der Autonomie auch von sehr schwer körperlich und kommunikativ beeinträchtigten Menschen muss mit intensiv</w:t>
      </w:r>
      <w:r>
        <w:t>er Fürsorge eine ideale Verbindung eingehen. Wir prüfen nach bestmöglichen und allgemeingültigen medizinischen Standards, welche Erkrankung vorliegt, und passen Diagnostik und Therapie individuell an. Wo andere vielleicht sagen ‚Das geht nicht‘, suchen wir</w:t>
      </w:r>
      <w:r>
        <w:t xml:space="preserve"> nach Wegen, Diagnostik und Therapie zu ermöglichen.</w:t>
      </w:r>
    </w:p>
    <w:p w:rsidR="009738F3" w:rsidRDefault="0025623A">
      <w:pPr>
        <w:pStyle w:val="Interview-Frage"/>
      </w:pPr>
      <w:r>
        <w:t>Wie gut ist das deutsche Gesundheitssystem auf die Bedürfnisse von Menschen mit Behinderung eingestellt – und wo sehen Sie die größten Versorgungslücken?</w:t>
      </w:r>
    </w:p>
    <w:p w:rsidR="009738F3" w:rsidRDefault="0025623A">
      <w:r>
        <w:t>Bedürfnisse von Menschen mit Behinderung sind ext</w:t>
      </w:r>
      <w:r>
        <w:t>rem vielfältig. Die Individualität spielt eine große Rolle in der medizinischen und pflegerischen Versorgung. Oft passen Standard-Angebote nicht. Bei einer sehr schweren körperlichen Behinderung benötigen Patientinnen und Patienten große Flächen für Hilfsm</w:t>
      </w:r>
      <w:r>
        <w:t>ittel und pflegende Personen in Krankenzimmer und Untersuchungsräumen. Wer nicht kooperieren kann, braucht schonende und sichere Verfahren, die eine Diagnostik ohne psychische Belastung und körperlichen Zwang ermöglichen. In Deutschland existieren solche A</w:t>
      </w:r>
      <w:r>
        <w:t xml:space="preserve">ngebote nur an wenigen Orten. Sobald ein Mensch aus Angst die Mitwirkung an Untersuchungen verweigert, ist der Weg zu notwendiger und angemessener Medizin blockiert. </w:t>
      </w:r>
    </w:p>
    <w:p w:rsidR="009738F3" w:rsidRDefault="0025623A">
      <w:pPr>
        <w:pStyle w:val="Interview-Frage"/>
      </w:pPr>
      <w:r>
        <w:t>Welche Folgen haben diese Versorgungslücken für Betroffene?</w:t>
      </w:r>
    </w:p>
    <w:p w:rsidR="009738F3" w:rsidRDefault="0025623A">
      <w:r>
        <w:t>Ohne präzise Diagnosen sind o</w:t>
      </w:r>
      <w:r>
        <w:t>ft nur symptomatische Therapien möglich. Statt die Gallenblasenentzündung zu erkennen und etwa durch eine Operation zu heilen, werden vielleicht nur Schmerzmittel gegeben. Gerade Menschen mit Einschränkungen in der Kommunikation und Kooperationsfähigkeit s</w:t>
      </w:r>
      <w:r>
        <w:t xml:space="preserve">ind davon betroffen. Dazu gehören beispielsweise Menschen mit Autismus oder mit Störung der Intelligenzentwicklung. Man stelle sich vor, eine betroffene Person kann nicht sagen, dass sie Bauchschmerzen hat und lässt sich auch kein Blut abnehmen. In vielen </w:t>
      </w:r>
      <w:r>
        <w:t xml:space="preserve">Arztpraxen und Krankenhäusern entsteht dann große Hilflosigkeit. </w:t>
      </w:r>
      <w:r>
        <w:lastRenderedPageBreak/>
        <w:t xml:space="preserve">Betroffene müssen unverrichteter Dinge das Krankenhaus verlassen. So werden Krankheiten übersehen und bleiben unbehandelt. Menschen leiden unnötig und sterben vermeidbar. Das ist durch viele </w:t>
      </w:r>
      <w:r>
        <w:t>Untersuchungen belegt.</w:t>
      </w:r>
    </w:p>
    <w:p w:rsidR="009738F3" w:rsidRDefault="0025623A">
      <w:pPr>
        <w:pStyle w:val="Interview-Frage"/>
      </w:pPr>
      <w:r>
        <w:t xml:space="preserve">Welche Maßnahmen oder Ansätze haben sich in Ihrer Klinik bewährt? </w:t>
      </w:r>
    </w:p>
    <w:p w:rsidR="009738F3" w:rsidRDefault="0025623A">
      <w:r>
        <w:t>Am Anfang stand die Entscheidung des Trägers, die Situation in der eigenen Klinik zu verbessern – auch wenn dadurch finanzielle Risiken entstehen. Dann brauchte es ei</w:t>
      </w:r>
      <w:r>
        <w:t>n Team aus Pflegekräften, Therapeutinnen und Therapeuten sowie Ärztinnen und Ärzten, die motiviert waren, sich sorgfältig mit den Bedürfnissen von Menschen mit Behinderung zu befassen. Räume, Hilfsmittel und Arbeitsweisen wurden nach und nach angepasst. Sc</w:t>
      </w:r>
      <w:r>
        <w:t>hon vorhandenes Spezialwissen musste dem jungen Team und dem gesamten Krankenhaus zugänglich gemacht werden. Ein mühsamer Prozess, der nie abgeschlossen ist. Aber das Verständnis für die Bedürfnisse von Menschen mit Behinderung ist insgesamt gewachsen.</w:t>
      </w:r>
    </w:p>
    <w:p w:rsidR="009738F3" w:rsidRDefault="0025623A">
      <w:pPr>
        <w:pStyle w:val="Interview-Frage"/>
      </w:pPr>
      <w:r>
        <w:t>Was</w:t>
      </w:r>
      <w:r>
        <w:t xml:space="preserve"> möchten Sie Menschen mit Behinderung und ihren Angehörigen mit auf den Weg geben? </w:t>
      </w:r>
    </w:p>
    <w:p w:rsidR="009738F3" w:rsidRDefault="0025623A">
      <w:r>
        <w:t>Deutschland hat sich der UN-Behindertenrechtskonvention und der Inklusion rechtlich verpflichtet. Das Grundgesetz verbietet Diskriminierung. Das sind sehr solide Grundlagen</w:t>
      </w:r>
      <w:r>
        <w:t xml:space="preserve">, um berechtigte Forderungen zu stellen. Lassen Sie sich nicht zurückweisen mit Argumenten, die da lauten: ‚Das können wir hier nicht, damit haben wir keine Erfahrung, darauf sind wir nicht eingestellt …‘ Krankenhäuser können auch nicht-kooperationsfähige </w:t>
      </w:r>
      <w:r>
        <w:t>Patientinnen und Patienten aufnehmen, selbst wenn die medizinische Situation unklar ist und harmlos erscheint. Angehörige können mit aufgenommen werden, um Betroffene emotional zu stabilisieren und die Kommunikation zu verbessern. In fast jedem Krankenhaus</w:t>
      </w:r>
      <w:r>
        <w:t xml:space="preserve"> gibt es eine Abteilung für Anästhesie, die Betroffene mit Kooperationsschwierigkeiten durch Sedierung und Narkose den Zugang zu Diagnostik und letztlich auch Therapie ermöglichen kann. Und mittlerweile gibt es in ganz Deutschland Expertinnen und Experten </w:t>
      </w:r>
      <w:r>
        <w:t xml:space="preserve">an Medizinischen Zentren für Erwachsene mit Behinderung (MZEB) und spezialisierte Abteilungen, von denen man Ratschläge bekommen kann. </w:t>
      </w:r>
    </w:p>
    <w:p w:rsidR="009738F3" w:rsidRDefault="0025623A">
      <w:pPr>
        <w:pStyle w:val="Interview-Frage"/>
      </w:pPr>
      <w:r>
        <w:t>Interview: Kristin Enge</w:t>
      </w:r>
    </w:p>
    <w:p w:rsidR="009738F3" w:rsidRDefault="0025623A">
      <w:pPr>
        <w:pStyle w:val="berschrift1"/>
      </w:pPr>
      <w:bookmarkStart w:id="26" w:name="_Toc230066563"/>
      <w:r>
        <w:t>Pendlerpauschale: fair geht anders</w:t>
      </w:r>
      <w:bookmarkEnd w:id="26"/>
    </w:p>
    <w:p w:rsidR="009738F3" w:rsidRDefault="0025623A">
      <w:pPr>
        <w:pStyle w:val="Standard-Fett"/>
      </w:pPr>
      <w:r>
        <w:t>Steuerliche Ungleichbehandlung von Menschen mit Behinderung b</w:t>
      </w:r>
      <w:r>
        <w:t>eenden</w:t>
      </w:r>
    </w:p>
    <w:p w:rsidR="009738F3" w:rsidRDefault="0025623A">
      <w:pPr>
        <w:pStyle w:val="Vorspann"/>
      </w:pPr>
      <w:r>
        <w:t>Seit dem 1. Januar 2026 ist die Pendlerpauschale auf 38 Cent pro Entfernungskilometer erhöht worden. Die für behinderungsbedingte Fahrten nicht. Das widerspricht dem Anspruch auf gleichwertige Lebensverhältnisse.</w:t>
      </w:r>
    </w:p>
    <w:p w:rsidR="009738F3" w:rsidRDefault="0025623A">
      <w:r>
        <w:lastRenderedPageBreak/>
        <w:t>Für viele Arbeitnehmerinnen und Arbe</w:t>
      </w:r>
      <w:r>
        <w:t xml:space="preserve">itnehmer bedeutet die Erhöhung eine spürbare steuerliche Entlastung. Menschen mit Behinderung profitieren davon jedoch oft nicht in gleichem Maße. Ihre behinderungsbedingten Fahrtkosten werden weiterhin meist nur mit 30 Cent pro Kilometer anerkannt. Diese </w:t>
      </w:r>
      <w:r>
        <w:t>unterschiedliche Behandlung ist weder gerecht noch zeitgemäß.</w:t>
      </w:r>
    </w:p>
    <w:p w:rsidR="009738F3" w:rsidRDefault="0025623A">
      <w:r>
        <w:t>Gerade Menschen mit Behinderung sind besonders auf individuelle Mobilität angewiesen. Viele können öffentliche Verkehrsmittel nur eingeschränkt oder gar nicht nutzen. Fahrten zur Arbeit oder zur</w:t>
      </w:r>
      <w:r>
        <w:t xml:space="preserve"> sozialen Teilhabe, regelmäßige Arztbesuche, Therapien oder Einkäufe verursachen hohe Kosten. Hinzu kommen oft spezielle Anforderungen an Fahrzeuge sowie Belastungen durch Begleitpersonen und Hilfsmittel.</w:t>
      </w:r>
    </w:p>
    <w:p w:rsidR="009738F3" w:rsidRDefault="0025623A">
      <w:r>
        <w:t>Während die allgemeine Pendlerpauschale angehoben w</w:t>
      </w:r>
      <w:r>
        <w:t xml:space="preserve">urde, blieb die steuerliche Berücksichtigung behinderungsbedingter Fahrtkosten unverändert. Dadurch entsteht eine klare Ungleichbehandlung im Steuerrecht. Wer aufgrund einer Behinderung höhere Mobilitätskosten tragen muss, darf steuerlich nicht schlechter </w:t>
      </w:r>
      <w:r>
        <w:t>gestellt sein als andere Pendlerinnen und Pendler.</w:t>
      </w:r>
    </w:p>
    <w:p w:rsidR="009738F3" w:rsidRDefault="0025623A">
      <w:r>
        <w:t>Der Sozialverband VdK setzt sich deshalb für eine gerechte Lösung ein: Behinderungsbedingte Fahrtkosten müssen mindestens in gleicher Höhe wie die Pendlerpauschale – also mit 38 Cent pro Kilometer – berück</w:t>
      </w:r>
      <w:r>
        <w:t>sichtigt werden. Das wäre ein wichtiger Schritt zu mehr Gleichbehandlung und gesellschaftlicher Teilhabe.</w:t>
      </w:r>
    </w:p>
    <w:p w:rsidR="009738F3" w:rsidRDefault="0025623A">
      <w:r>
        <w:t>Steuerpolitik darf Menschen mit Behinderung nicht mit Nachteilen belegen. Deutschland braucht ein modernes, gerechtes Steuerrecht, das die tatsächlich</w:t>
      </w:r>
      <w:r>
        <w:t xml:space="preserve">en Lebensrealitäten berücksichtigt und niemanden benachteiligt. </w:t>
      </w:r>
    </w:p>
    <w:p w:rsidR="009738F3" w:rsidRDefault="0025623A">
      <w:r>
        <w:rPr>
          <w:b/>
        </w:rPr>
        <w:t xml:space="preserve"> Robert Manu</w:t>
      </w:r>
    </w:p>
    <w:p w:rsidR="009738F3" w:rsidRDefault="0025623A">
      <w:pPr>
        <w:pStyle w:val="berschrift1"/>
      </w:pPr>
      <w:bookmarkStart w:id="27" w:name="_Toc230066564"/>
      <w:r>
        <w:t>Aktuelle Filme auf VdK-TV</w:t>
      </w:r>
      <w:bookmarkEnd w:id="27"/>
    </w:p>
    <w:p w:rsidR="009738F3" w:rsidRDefault="0025623A">
      <w:r>
        <w:rPr>
          <w:b/>
        </w:rPr>
        <w:t>„Rat &amp; Tat“</w:t>
      </w:r>
    </w:p>
    <w:p w:rsidR="009738F3" w:rsidRDefault="0025623A">
      <w:r>
        <w:t>Wer seine Partnerin oder seinen Partner durch Tod verliert, muss den schmerzvollen Verlust erst einmal verarbeiten. Deshalb gewährt die Deut</w:t>
      </w:r>
      <w:r>
        <w:t>sche Rentenversicherung das sogenannte Sterbevierteljahr. In diesem Zeitraum erhalten Hinterbliebene die Witwen- oder Witwerrente in voller Höhe des Rentenanspruchs, den der oder die Verstorbene besaß. Wie es anschließend weitergeht, hängt von verschiedene</w:t>
      </w:r>
      <w:r>
        <w:t>n Faktoren ab, etwa vom eigenen Lebensalter, dem Datum der Eheschließung oder dem Einkommen. Grundsätzlich wird dabei zwischen der „großen“ und „kleinen“ Witwenrente unterschieden. Was es damit auf sich hat, erklärt VdK-Rechtsexperte Lukas Dworaczek.</w:t>
      </w:r>
    </w:p>
    <w:p w:rsidR="009738F3" w:rsidRDefault="0025623A">
      <w:r>
        <w:rPr>
          <w:b/>
        </w:rPr>
        <w:t>„Klip</w:t>
      </w:r>
      <w:r>
        <w:rPr>
          <w:b/>
        </w:rPr>
        <w:t>p &amp; Klar“</w:t>
      </w:r>
    </w:p>
    <w:p w:rsidR="009738F3" w:rsidRDefault="0025623A">
      <w:r>
        <w:t>In dieser Folge setzt sich Verena Bentele mit der Sozialstaatsdebatte kritisch auseinander. So geht die Gleichung, dass nur Wirtschaftswachstum Wohlstand garantiert, schon lange nicht mehr auf. Große Teile der Bevölkerung haben keine Möglichkeit,</w:t>
      </w:r>
      <w:r>
        <w:t xml:space="preserve"> eigenes Vermögen aufzubauen. Auch den Vorwurf, dass die gestiegene Lebenserwartung zu immer längeren Zeiten im </w:t>
      </w:r>
      <w:r>
        <w:lastRenderedPageBreak/>
        <w:t>Rentenbezug führt, entkräftet die VdK-Präsidentin. Denn das gilt nur für diejenigen, die eine gute Rente beziehen. Einer Statistik des Deutschen</w:t>
      </w:r>
      <w:r>
        <w:t xml:space="preserve"> Bundestags zufolge sterben Menschen mit geringen Alterseinkünften bis zu elf Jahre früher als wohlhabende Ruheständlerinnen und -ständler. Statt die Einkommensschwachen in der Gesellschaft durch weitere Einsparungen im Sozialetat zu belasten, spricht sich</w:t>
      </w:r>
      <w:r>
        <w:t xml:space="preserve"> Bentele dafür aus, große Betriebsvermögen und Erbschaften stärker zu besteuern.</w:t>
      </w:r>
    </w:p>
    <w:p w:rsidR="009738F3" w:rsidRDefault="0025623A">
      <w:r>
        <w:rPr>
          <w:b/>
        </w:rPr>
        <w:t>„SBV – Inklusives Wissen“</w:t>
      </w:r>
    </w:p>
    <w:p w:rsidR="009738F3" w:rsidRDefault="0025623A">
      <w:r>
        <w:t>Soll ich meine Schwerbehinderung gegenüber dem Arbeitgeber offenlegen? Darauf gibt es keine pauschale Antwort. Der VdK empfiehlt, sich in diesem Fall</w:t>
      </w:r>
      <w:r>
        <w:t xml:space="preserve"> vertrauensvoll an die Schwerbehindertenvertretung (SBV) im Betrieb zu wenden, bevor man das Gespräch mit dem Vorgesetzten sucht. Für die SBV gilt eine Schweigepflicht. Sie darf Informationen nur mit ausdrücklicher Zustimmung der Betroffenen weitergeben. E</w:t>
      </w:r>
      <w:r>
        <w:t>s kann durchaus Vorteile für die Berufsausübung haben, wenn sich Beschäftigte entschließen, eine Schwerbehinderung öffentlich zu machen. Darüber, und wie die SBV sie zusätzlich unterstützen kann, informiert VdK-Rechtsexpertin Kim Blum.</w:t>
      </w:r>
    </w:p>
    <w:p w:rsidR="009738F3" w:rsidRDefault="0025623A">
      <w:r>
        <w:t>VdK-TV-Magazin in Sp</w:t>
      </w:r>
      <w:r>
        <w:t>ort1</w:t>
      </w:r>
    </w:p>
    <w:p w:rsidR="009738F3" w:rsidRDefault="0025623A">
      <w:pPr>
        <w:pStyle w:val="berschrift1"/>
      </w:pPr>
      <w:bookmarkStart w:id="28" w:name="_Toc230066565"/>
      <w:r>
        <w:t>„miteinander“ im Juni</w:t>
      </w:r>
      <w:bookmarkEnd w:id="28"/>
    </w:p>
    <w:p w:rsidR="009738F3" w:rsidRDefault="0025623A">
      <w:r>
        <w:t>In der Juni-Sendung des Magazins „miteinander“ geht es um den Klimawandel und wie sich dieser sozialverträglich gestalten lässt. Die vielen Krisen, die die Welt zurzeit bewegen, haben die Erderwärmung etwas in den Hintergrund gerückt. An ihrer Bedrohung fü</w:t>
      </w:r>
      <w:r>
        <w:t xml:space="preserve">r Mensch und Umwelt hat sich dadurch jedoch nichts geändert. </w:t>
      </w:r>
    </w:p>
    <w:p w:rsidR="009738F3" w:rsidRDefault="0025623A">
      <w:r>
        <w:t>Der Sozialverband VdK setzt sich seit Langem dafür ein, die Situation ärmerer und benachteiligter Menschen mehr in den Blick zu nehmen. Sie sind häufig nicht nur stärker durch die Folgen der glo</w:t>
      </w:r>
      <w:r>
        <w:t>balen Klimaveränderung betroffen, sondern haben gleichzeitig auch weniger finanzielle Mittel, um zum Beispiel Biolebensmittel zu kaufen oder zusätzliche Abgaben auf ihren Energieverbrauch zu zahlen.</w:t>
      </w:r>
    </w:p>
    <w:p w:rsidR="009738F3" w:rsidRDefault="0025623A">
      <w:r>
        <w:t xml:space="preserve">Über dieses aktuelle Thema diskutiert Verena Bentele mit </w:t>
      </w:r>
      <w:r>
        <w:t>Dirk Messner, seit 2020 Präsident des Umweltbundesamts (UBA). Die Präsidentin des Sozialverbands VdK Deutschland bringt die Perspektive der VdK-Mitglieder in die Debatte ein. Der Beitrag bietet ein spannendes Streitgespräch, das gleichzeitig offenbart, das</w:t>
      </w:r>
      <w:r>
        <w:t xml:space="preserve">s es keine einfachen Lösungen gibt. </w:t>
      </w:r>
    </w:p>
    <w:p w:rsidR="009738F3" w:rsidRDefault="0025623A">
      <w:r>
        <w:rPr>
          <w:b/>
        </w:rPr>
        <w:t xml:space="preserve">„miteinander“ </w:t>
      </w:r>
      <w:r>
        <w:t>ist eine der beständigsten Sendereihen im deutschen Fernsehen. Seit 28 Jahren informiert das VdK-TV-Magazin Monat für Monat über sozialpolitische Themen, rechtliche Fragen, zeigt Neues aus den Bereichen Ge</w:t>
      </w:r>
      <w:r>
        <w:t>sundheit und Rente, ist generationsübergreifend und wendet sich an Menschen mit und ohne Behinderung.</w:t>
      </w:r>
    </w:p>
    <w:p w:rsidR="009738F3" w:rsidRDefault="0025623A">
      <w:r>
        <w:rPr>
          <w:b/>
        </w:rPr>
        <w:t>Freuen Sie sich auf interessante Beiträge!</w:t>
      </w:r>
    </w:p>
    <w:p w:rsidR="009738F3" w:rsidRDefault="0025623A">
      <w:r>
        <w:rPr>
          <w:b/>
        </w:rPr>
        <w:t>Juni-Ausgabe auf Sport1</w:t>
      </w:r>
    </w:p>
    <w:p w:rsidR="009738F3" w:rsidRDefault="0025623A">
      <w:r>
        <w:rPr>
          <w:b/>
        </w:rPr>
        <w:t>am 20.  Juni</w:t>
      </w:r>
      <w:r>
        <w:t xml:space="preserve"> um 12  Uhr.</w:t>
      </w:r>
    </w:p>
    <w:p w:rsidR="009738F3" w:rsidRDefault="0025623A">
      <w:r>
        <w:lastRenderedPageBreak/>
        <w:t>Wiederholungen am 23.  Junium 7  Uhr sowie am 25.  Juni um 1  </w:t>
      </w:r>
      <w:r>
        <w:t>Uhr.</w:t>
      </w:r>
    </w:p>
    <w:p w:rsidR="009738F3" w:rsidRDefault="0025623A">
      <w:r>
        <w:t>Nach TV-Ausstrahlung jederzeit abrufbar auf vdk.de</w:t>
      </w:r>
    </w:p>
    <w:p w:rsidR="009738F3" w:rsidRDefault="0025623A">
      <w:pPr>
        <w:pStyle w:val="berschrift1"/>
      </w:pPr>
      <w:bookmarkStart w:id="29" w:name="_Toc230066566"/>
      <w:r>
        <w:t>Die kurze Geschichte des Golden Goals</w:t>
      </w:r>
      <w:bookmarkEnd w:id="29"/>
    </w:p>
    <w:p w:rsidR="009738F3" w:rsidRDefault="0025623A">
      <w:pPr>
        <w:pStyle w:val="Standard-Fett"/>
      </w:pPr>
      <w:r>
        <w:t>Vor 30 Jahren gewann das deutsche Team dank dieser Regel das Europameisterschafts-Finale</w:t>
      </w:r>
    </w:p>
    <w:p w:rsidR="009738F3" w:rsidRDefault="0025623A">
      <w:pPr>
        <w:pStyle w:val="Vorspann"/>
      </w:pPr>
      <w:r>
        <w:t>„Golden Goal – goldenes Tor“ ist nicht nur ein schöner Begriff. Die deuts</w:t>
      </w:r>
      <w:r>
        <w:t>chen Fußball-Nationalteams  haben an diese Regel auch sehr gute Erinnerungen. Doch sie galt nur wenige Jahre, bevor sie wieder abgeschafft wurde. Eine Spielerin und ein Spieler wurden durch ihre Golden Goals unvergesslich.</w:t>
      </w:r>
    </w:p>
    <w:p w:rsidR="009738F3" w:rsidRDefault="0025623A">
      <w:r>
        <w:t>Englands Königin Elisabeth II. un</w:t>
      </w:r>
      <w:r>
        <w:t>d ihr Mann Prinz Philip waren zusammen mit den anderen 73 600 Zuschauerinnen und Zuschauern im Wembley-Stadion am 30. Juni 1996 bei einem sporthistorischen Moment dabei. Es war die 5. Minute der Nachspielzeit im Endspiel der Fußball-Europameisterschaft zwi</w:t>
      </w:r>
      <w:r>
        <w:t>schen Deutschland und der Tschechischen Republik. Nach einem Pass von Jürgen Klinsmann stoppte Oliver Bierhoff mit dem Rücken zum gegnerischen Tor den Ball, machte eine 180-Grad-Drehung und schoss mit links den Ball aus rund 15 Metern vorbei an zwei Gegens</w:t>
      </w:r>
      <w:r>
        <w:t>pielern Richtung Gehäuse der Tschechen.</w:t>
      </w:r>
    </w:p>
    <w:p w:rsidR="009738F3" w:rsidRDefault="0025623A">
      <w:r>
        <w:t>Torhüter Petr Kouba konnte seine Arme zwar noch nach oben strecken und den Ball berühren, ihn aber nicht abwehren. Das Spielgerät flog leicht abgebremst weiter ins Netz. Bierhoff rannte Richtung Fankurve, riss sich d</w:t>
      </w:r>
      <w:r>
        <w:t>as Trikot vom Leib. Deutschland war mit diesem Schuss Europameister.</w:t>
      </w:r>
    </w:p>
    <w:p w:rsidR="009738F3" w:rsidRDefault="0025623A">
      <w:r>
        <w:t>Erst ein Jahr zuvor hatte der Weltfußballverband FIFA das  Golden Goal eingeführt. Vorbild war das Eishockey. Dort gilt bis heute die Regel mit dem martialischen Namen „Sudden Death“ (plö</w:t>
      </w:r>
      <w:r>
        <w:t>tzlicher Tod): Das Team, das in der Verlängerung das erste Tor schießt, gewinnt – und das Spiel ist sofort zu Ende. Bierhoffs Tor war das erste Golden Goal der Fußballgeschichte.</w:t>
      </w:r>
    </w:p>
    <w:p w:rsidR="009738F3" w:rsidRDefault="0025623A">
      <w:pPr>
        <w:pStyle w:val="Zwischentitel"/>
      </w:pPr>
      <w:r>
        <w:t>Per Kopfball zum Titel</w:t>
      </w:r>
    </w:p>
    <w:p w:rsidR="009738F3" w:rsidRDefault="0025623A">
      <w:r>
        <w:t>Doch der Deutsche Fußball-Bund verbindet nicht nur weg</w:t>
      </w:r>
      <w:r>
        <w:t>en des EM-Siegs 1996 beste Erinnerungen mit dieser Regel. Sieben Jahre später, am 12. Oktober 2003, beim Endspiel der Frauen-Weltmeisterschaft in Carson/Los Angeles (USA), konnte das deutsche Team auch direkt nach einem Tor über den Titelgewinn jubeln.</w:t>
      </w:r>
    </w:p>
    <w:p w:rsidR="009738F3" w:rsidRDefault="0025623A">
      <w:r>
        <w:t xml:space="preserve">8. </w:t>
      </w:r>
      <w:r>
        <w:t>Minute der Verlängerung: Nach einer Flanke von Renate Lingor sprang die erst zehn Minuten zuvor eingewechselte Nia Künzer höher als ihre schwedischen Gegnerinnen und köpfte den Ball ins Tor – und die deutschen Frauen damit zu ihrem ersten WM-Titel. Wie sch</w:t>
      </w:r>
      <w:r>
        <w:t xml:space="preserve">on das Golden Goal </w:t>
      </w:r>
      <w:r>
        <w:lastRenderedPageBreak/>
        <w:t>1996 wählte das Publikum der ARD-„Sportschau“ auch diesen Treffer zum „Tor des Monats“ und zum „Tor des Jahres“.</w:t>
      </w:r>
    </w:p>
    <w:p w:rsidR="009738F3" w:rsidRDefault="0025623A">
      <w:r>
        <w:t>Viele Golden Goals fielen nicht. Die meisten Teams konzentrierten sich auf die Abwehr, um solche Tore zu verhindern. 2002 er</w:t>
      </w:r>
      <w:r>
        <w:t>setzte der europäische Verband UEFA das Golden Goal durch ein „Silver Goal“ (Silbernes Tor). Danach siegte ein Team bereits am Ende der ersten Halbzeit der Verlängerung, wenn es in Führung lag.</w:t>
      </w:r>
    </w:p>
    <w:p w:rsidR="009738F3" w:rsidRDefault="0025623A">
      <w:r>
        <w:t>Doch auch diese Regel blieb in der Kritik, und so schaffte die</w:t>
      </w:r>
      <w:r>
        <w:t xml:space="preserve"> FIFA  2004 beides wieder ab. Den Ruhm, den Bierhoff und Künzer durch das Golden Goal erhielten, hat dieser Beschluss des Weltverbands eher noch befördert. </w:t>
      </w:r>
      <w:r>
        <w:rPr>
          <w:b/>
        </w:rPr>
        <w:t>Sebastian Heise</w:t>
      </w:r>
    </w:p>
    <w:p w:rsidR="009738F3" w:rsidRDefault="0025623A">
      <w:pPr>
        <w:pStyle w:val="berschrift1"/>
      </w:pPr>
      <w:bookmarkStart w:id="30" w:name="_Toc230066567"/>
      <w:r>
        <w:t>Schlechte Karten für Fans mit Behinderung</w:t>
      </w:r>
      <w:bookmarkEnd w:id="30"/>
    </w:p>
    <w:p w:rsidR="009738F3" w:rsidRDefault="0025623A">
      <w:pPr>
        <w:pStyle w:val="Standard-Fett"/>
      </w:pPr>
      <w:r>
        <w:t xml:space="preserve">WM der Superlative: Horrende Ticketpreise </w:t>
      </w:r>
      <w:r>
        <w:t>für barrierefreie Zuschauerplätze</w:t>
      </w:r>
    </w:p>
    <w:p w:rsidR="009738F3" w:rsidRDefault="0025623A">
      <w:pPr>
        <w:pStyle w:val="Vorspann"/>
      </w:pPr>
      <w:r>
        <w:t>Menschen mit Behinderung, die die bevorstehende Fußball-Weltmeisterschaft in den USA, in Kanada und Mexiko vor Ort im Stadion erleben möchten, müssen tief in die Tasche greifen. Die Tickets sind im Vergleich zur WM 2022 in</w:t>
      </w:r>
      <w:r>
        <w:t xml:space="preserve"> Katar deutlich teurer geworden.</w:t>
      </w:r>
    </w:p>
    <w:p w:rsidR="009738F3" w:rsidRDefault="0025623A">
      <w:r>
        <w:t>Laut der britischen Boulevardzeitung „The Sun“ sind die Eintrittskarten für Fans mit Behinderung um bis zu 4900 Prozent gestiegen. Zum einen gibt es in der günstigsten Kategorie vier, in der ein Ticket umgerechnet etwa 52 E</w:t>
      </w:r>
      <w:r>
        <w:t xml:space="preserve">uro kostet, keine barrierefreien Plätze. Zum anderen sind die Karten für Begleitpersonen – anders als 2022 – nicht kostenlos. </w:t>
      </w:r>
    </w:p>
    <w:p w:rsidR="009738F3" w:rsidRDefault="0025623A">
      <w:r>
        <w:t>Der Zeitungsbericht nennt dazu ein konkretes Beispiel: Ein britischer Rollstuhlfahrer, der am 17. Juni das erste Spiel der englis</w:t>
      </w:r>
      <w:r>
        <w:t xml:space="preserve">chen Nationalmannschaft gegen Kroatien live im Stadion in Dallas verfolgen möchte, muss für das Ticket mindestens 198 Pfund (228 Euro) bezahlen, plus denselben Betrag für eine Begleitperson, also 396 Pfund (457 Euro). Das ist 50-mal oder 4900 Prozent mehr </w:t>
      </w:r>
      <w:r>
        <w:t>als bei der WM in Katar, wo die Eintrittskarten für Menschen mit Behinderung nur etwa 9 Euro gekostet haben und Begleitpersonen kostenfrei dabei sein konnten.</w:t>
      </w:r>
    </w:p>
    <w:p w:rsidR="009738F3" w:rsidRDefault="0025623A">
      <w:r>
        <w:t>Dies steht in direktem Widerspruch zu den Behauptungen des Fußball-Weltverbands FIFA, die WM werd</w:t>
      </w:r>
      <w:r>
        <w:t>e ein bahnbrechendes Ereignis, das neue Standards in Sachen Vielfalt und Inklusion setzt, kritisiert die Fanorganisation „Football Supporters Europe“ (FSE) in einem offenen Brief an FIFA-Präsident Gianni Infantino. Dabei sollte der größte Wettbewerb im Fuß</w:t>
      </w:r>
      <w:r>
        <w:t xml:space="preserve">ball grundsätzlich doch eigentlich offen, erschwinglich und für jede und jeden zugänglich sein. </w:t>
      </w:r>
    </w:p>
    <w:p w:rsidR="009738F3" w:rsidRDefault="0025623A">
      <w:pPr>
        <w:pStyle w:val="Zwischentitel"/>
      </w:pPr>
      <w:r>
        <w:t>Doppelt oder nichts</w:t>
      </w:r>
    </w:p>
    <w:p w:rsidR="009738F3" w:rsidRDefault="0025623A">
      <w:r>
        <w:lastRenderedPageBreak/>
        <w:t>Durch die Gebühr für Begleitpersonen lasse man vielen Fans mit Behinderung nur zwei Optionen: den doppelten Preis zu zahlen oder zu Hause z</w:t>
      </w:r>
      <w:r>
        <w:t xml:space="preserve">u bleiben. Eine andere besorgniserregende Entwicklung bestehe laut FSE darin, dass Tickets für barrierefreie Plätze auf der offiziellen Wiederverkaufsplattform der FIFA ohne jegliche Preisobergrenze weiterverkauft werden können. Dies birgt ein erhebliches </w:t>
      </w:r>
      <w:r>
        <w:t>Risiko für Missbrauch und finanzielle Ausbeutung.</w:t>
      </w:r>
    </w:p>
    <w:p w:rsidR="009738F3" w:rsidRDefault="0025623A">
      <w:r>
        <w:t>Weitere Ärgernisse: Die Anzahl der barrierefreien Plätze in den Stadien wurde um ein Drittel gekürzt, sodass bei manchen Spielen lediglich neun Rollstuhlfahrende pro Team zuschauen können. Darüber hinaus gibt es keine Garantie, dass eine Begleitperson über</w:t>
      </w:r>
      <w:r>
        <w:t xml:space="preserve">haupt in der Nähe des Fans mit Behinderung sitzen kann.  </w:t>
      </w:r>
      <w:r>
        <w:rPr>
          <w:b/>
        </w:rPr>
        <w:t>Mirko Besch</w:t>
      </w:r>
    </w:p>
    <w:p w:rsidR="009738F3" w:rsidRDefault="0025623A">
      <w:pPr>
        <w:pStyle w:val="berschrift1"/>
      </w:pPr>
      <w:bookmarkStart w:id="31" w:name="_Toc230066568"/>
      <w:r>
        <w:t>Augen auf beim Trikotkauf</w:t>
      </w:r>
      <w:bookmarkEnd w:id="31"/>
    </w:p>
    <w:p w:rsidR="009738F3" w:rsidRDefault="0025623A">
      <w:pPr>
        <w:pStyle w:val="Standard-Fett"/>
      </w:pPr>
      <w:r>
        <w:t>Verbraucherzentrale warnt vor Internet-Fakeshops</w:t>
      </w:r>
    </w:p>
    <w:p w:rsidR="009738F3" w:rsidRDefault="0025623A">
      <w:pPr>
        <w:pStyle w:val="Vorspann"/>
      </w:pPr>
      <w:r>
        <w:t>Wer sich für die Fußball-WM ein Trikot seiner Nationalmannschaft im Internet kaufen will, sollte vorsichtig sein</w:t>
      </w:r>
      <w:r>
        <w:t>. Die Verbraucherzentrale Niedersachsen warnt vor Fakeshops und Shops aus dem nicht europäischen Ausland.</w:t>
      </w:r>
    </w:p>
    <w:p w:rsidR="009738F3" w:rsidRDefault="0025623A">
      <w:r>
        <w:t>„Anbieter wie Fatooball.com oder Kickberlin.com locken mit günstigen Preisen“, so die Verbraucherzentrale. Über Suchmaschinen oder Soziale Medien land</w:t>
      </w:r>
      <w:r>
        <w:t xml:space="preserve">e man schnell auf professionell gestalteten Onlineshops. Nicht alle sind seriös. „Wir sehen zum Start solcher Sportereignisse immer wieder eine Welle von Fakeshops, die gezielt Fans ansprechen“, sagt Kathrin Bartsch, Rechtsexpertin der Verbraucherzentrale </w:t>
      </w:r>
      <w:r>
        <w:t xml:space="preserve">Niedersachsen. </w:t>
      </w:r>
    </w:p>
    <w:p w:rsidR="009738F3" w:rsidRDefault="0025623A">
      <w:pPr>
        <w:pStyle w:val="Zwischentitel"/>
      </w:pPr>
      <w:r>
        <w:t>Schlechte Qualität</w:t>
      </w:r>
    </w:p>
    <w:p w:rsidR="009738F3" w:rsidRDefault="0025623A">
      <w:r>
        <w:t>Besonders problematisch seien Shops, die entweder aus dem nicht europäischen Ausland liefern oder dort ihren Sitz haben. Bei der Ware handle es sich häufig um Plagiate, die nicht nur eine schlechte Qualität aufweisen, son</w:t>
      </w:r>
      <w:r>
        <w:t>dern auch Schadstoffe enthalten können. Zudem warnt die Verbraucherzentrale Niedersachsen vor Problemen mit dem Zoll oder gar dem Verlust des gezahlten Geldes.</w:t>
      </w:r>
    </w:p>
    <w:p w:rsidR="009738F3" w:rsidRDefault="0025623A">
      <w:r>
        <w:t>Hat man eine Reklamation, kann einen das vermeintliche Schnäppchen teuer zu stehen kommen. „Fehl</w:t>
      </w:r>
      <w:r>
        <w:t>t ein verantwortlicher Ansprechpartner in der EU, sind Ansprüche nur schwer durchsetzbar, selten reagiert jemand – und der Ärger ist groß“, sagt Bartsch. Einen Hinweis darauf, ob es sich um einen seriösen Anbieter handelt, liefern die Herstellerangaben auf</w:t>
      </w:r>
      <w:r>
        <w:t xml:space="preserve"> dem Produkt oder das Impressum auf der Webseite des Anbieters. </w:t>
      </w:r>
    </w:p>
    <w:p w:rsidR="009738F3" w:rsidRDefault="0025623A">
      <w:r>
        <w:t>Die Verbraucherzentrale hat exemplarisch mehrere Onlineshops überprüft. Neben den oben genannten warnt sie vor Shops wie Trikotfc.com, fussballtrikot-gunstig.com und gojersey.co. Um sicherzug</w:t>
      </w:r>
      <w:r>
        <w:t xml:space="preserve">ehen, dass der Anbieter vertrauenswürdig ist, empfiehlt Bartsch den Fakeshop-Finder. Dieses KI-gestützte Tool der Verbraucherzentralen kann innerhalb weniger Sekunden die Webseite eines Shops überprüfen. </w:t>
      </w:r>
      <w:r>
        <w:rPr>
          <w:b/>
        </w:rPr>
        <w:t>ali</w:t>
      </w:r>
    </w:p>
    <w:p w:rsidR="009738F3" w:rsidRDefault="0025623A">
      <w:pPr>
        <w:pStyle w:val="berschrift1"/>
      </w:pPr>
      <w:bookmarkStart w:id="32" w:name="_Toc230066569"/>
      <w:r>
        <w:lastRenderedPageBreak/>
        <w:t>Wo die Fußball-WMzu sehen ist</w:t>
      </w:r>
      <w:bookmarkEnd w:id="32"/>
    </w:p>
    <w:p w:rsidR="009738F3" w:rsidRDefault="0025623A">
      <w:pPr>
        <w:pStyle w:val="Vorspann"/>
      </w:pPr>
      <w:r>
        <w:t>ARD und ZDF übertr</w:t>
      </w:r>
      <w:r>
        <w:t xml:space="preserve">agen 60 der 104 WM-Spiele live. Jeder Sender zeigt 30 Partien, darunter alle deutschen Spiele. Das Eröffnungsspiel sowie das Finale sind live im Zweiten zu sehen. </w:t>
      </w:r>
    </w:p>
    <w:p w:rsidR="009738F3" w:rsidRDefault="0025623A">
      <w:r>
        <w:t>Die öffentlich-rechtlichen Sender strahlen somit mehr als die Hälfte der Spiele aus. Die and</w:t>
      </w:r>
      <w:r>
        <w:t>eren 44 WM-Spiele zeigt MagentaTV exklusiv. Das ZDF überträgt am Donnerstag, 11. Juni, um 21 Uhr das Eröffnungsspiel zwischen Mexiko und Südafrika. Die Partie Deutschland gegen Curaçao läuft am Sonntagabend, 14. Juni, ab 19 Uhr im Ersten. Das zweite Gruppe</w:t>
      </w:r>
      <w:r>
        <w:t>nspiel der Deutschen gegen die Elfenbeinküste ist am Samstag, 20. Juni, um 22 Uhr im ZDF zu sehen. Am Donnerstag, 25. Juni, ab 22 Uhr zeigt das Erste die Begegnung Deutschland gegen Ecuador.</w:t>
      </w:r>
    </w:p>
    <w:p w:rsidR="009738F3" w:rsidRDefault="0025623A">
      <w:r>
        <w:t>Das Sechzehntelfinale startet am Sonntag, 28. Juni, um 21 Uhr, da</w:t>
      </w:r>
      <w:r>
        <w:t>s Achtelfinale am Samstag, 4. Juli, um 19 Uhr und das Viertelfinale am Donnerstag, 9. Juli, um 22 Uhr. Die Halbfinal-Begegnungen sind am Dienstag, 14. Juli, sowie am Mittwoch, 15. Juli, jeweils um 21 Uhr. Am Samstag, 18. Juli, um 23 Uhr findet das Spiel um</w:t>
      </w:r>
      <w:r>
        <w:t xml:space="preserve"> den dritten Platz statt, am Sonntag, 19. Juli, um 21 Uhr das Finale. </w:t>
      </w:r>
    </w:p>
    <w:p w:rsidR="009738F3" w:rsidRDefault="0025623A">
      <w:r>
        <w:t xml:space="preserve">ARD und ZDF bieten alle WM-Übertragungen mit Live-Untertitelung und Audiodeskription an. Hinzu kommt ein umfangreiches Angebot in den Mediatheken beider Sender mit News, Highlights, Interviews und vielem mehr. </w:t>
      </w:r>
      <w:r>
        <w:rPr>
          <w:b/>
        </w:rPr>
        <w:t>ali</w:t>
      </w:r>
    </w:p>
    <w:p w:rsidR="009738F3" w:rsidRDefault="0025623A">
      <w:pPr>
        <w:pStyle w:val="berschrift1"/>
      </w:pPr>
      <w:bookmarkStart w:id="33" w:name="_Toc230066570"/>
      <w:r>
        <w:t>Einblicke in die Mitgliederkartei der NSDA</w:t>
      </w:r>
      <w:r>
        <w:t>P</w:t>
      </w:r>
      <w:bookmarkEnd w:id="33"/>
    </w:p>
    <w:p w:rsidR="009738F3" w:rsidRDefault="0025623A">
      <w:pPr>
        <w:pStyle w:val="Standard-Fett"/>
      </w:pPr>
      <w:r>
        <w:t>Das US-Nationalarchiv hat Millionen von Daten im Internet veröffentlicht und damit einen Ansturm an Abfragen ausgelöst</w:t>
      </w:r>
    </w:p>
    <w:p w:rsidR="009738F3" w:rsidRDefault="0025623A">
      <w:pPr>
        <w:pStyle w:val="Vorspann"/>
      </w:pPr>
      <w:r>
        <w:t>Das Interesse, wer Mitglied der Nationalsozialistischen Deutschen Arbeiterpartei (NSDAP) war, ist 82 Jahre nach dem Zweiten Weltkrieg u</w:t>
      </w:r>
      <w:r>
        <w:t>ngebrochen. Das US-Nationalarchiv hatte Mitte März mehr als 16 Millionen Dokumente aus der Kartei online gestellt. Bei der Abfrage gilt es einiges zu beachten.</w:t>
      </w:r>
    </w:p>
    <w:p w:rsidR="009738F3" w:rsidRDefault="0025623A">
      <w:r>
        <w:t>Waren der Opa, der Vater, die Tante oder der Nachbar Mitglied in der NSDAP? Diese Frage beschäft</w:t>
      </w:r>
      <w:r>
        <w:t>igt noch heute viele Menschen. In den vergangenen Monaten haben Millionen Interessierte im Internet das Angebot des US-Nationalarchivs dazu befragt.</w:t>
      </w:r>
    </w:p>
    <w:p w:rsidR="009738F3" w:rsidRDefault="0025623A">
      <w:r>
        <w:lastRenderedPageBreak/>
        <w:t xml:space="preserve">Das Archiv ist im Internet abrufbar unter: </w:t>
      </w:r>
      <w:hyperlink r:id="rId12">
        <w:r>
          <w:rPr>
            <w:color w:val="0015B7"/>
          </w:rPr>
          <w:t>catalog.archives.gov/search-within/12044361</w:t>
        </w:r>
      </w:hyperlink>
      <w:r>
        <w:t xml:space="preserve">. Für eine Abfrage müssen die Nutzerinnen und Nutzer den vollständigen Namen der gesuchten Person in der Reihenfolge ‚Nachname, Vorname‘ mit An- und Abführungszeichen eingeben. Idealerweise sollte auch das </w:t>
      </w:r>
      <w:r>
        <w:t xml:space="preserve">Geburtsdatum bekannt sein. </w:t>
      </w:r>
    </w:p>
    <w:p w:rsidR="009738F3" w:rsidRDefault="0025623A">
      <w:pPr>
        <w:pStyle w:val="Zwischentitel"/>
      </w:pPr>
      <w:r>
        <w:t>Oft nicht eindeutig</w:t>
      </w:r>
    </w:p>
    <w:p w:rsidR="009738F3" w:rsidRDefault="0025623A">
      <w:r>
        <w:t>Die Recherche erfordert allerdings etwas Geduld. Die Webseite des US-Nationalarchivs ist in englischer Sprache. Die Treffer führen zu digitalisierten Mikrofilmen der Karteikarten. Abrufbar sind in der Regel G</w:t>
      </w:r>
      <w:r>
        <w:t>eburtsdatum, Eintrittsdatum in die NSDAP, Mitgliedsnummer und eventuell ein Foto. Die Ergebnisse, die angezeigt werden, sind allerdings oft nicht eindeutig. „Da viele Karteikarten handschriftlich ausgefüllt sind, ist die Fehlerquote hoch“, erklärt der Hist</w:t>
      </w:r>
      <w:r>
        <w:t xml:space="preserve">oriker Professor Frank Bajohr, ehemaliger Leiter des Zentrums für Holocaust-Studien am Institut für Zeitgeschichte München. Ein Nicht-Treffer schließe nicht aus, dass die betreffende Person dennoch in der NSDAP war. </w:t>
      </w:r>
    </w:p>
    <w:p w:rsidR="009738F3" w:rsidRDefault="0025623A">
      <w:r>
        <w:t xml:space="preserve">Bajohr ordnet die Ergebnisse ein: „Die </w:t>
      </w:r>
      <w:r>
        <w:t>Daten liefern allenfalls einen ersten Anhaltspunkt und sollten als Anreiz dienen, weiter nachzuforschen. Sie geben weder über die Motive des Parteieintritts noch über die innere Einstellung oder das tatsächliche Verhalten der Person verlässlich Auskunft. N</w:t>
      </w:r>
      <w:r>
        <w:t xml:space="preserve">icht einmal Funktionen innerhalb der NSDAP sind in der Kartei dokumentiert.“ </w:t>
      </w:r>
    </w:p>
    <w:p w:rsidR="009738F3" w:rsidRDefault="0025623A">
      <w:r>
        <w:t>Das große Interesse an dem Archiv deutet er als Versuch, hinter die oft beschönigende Familienüberlieferung zu blicken. „Meinungsumfragen der letzten Jahre haben gezeigt, dass di</w:t>
      </w:r>
      <w:r>
        <w:t>e meisten Deutschen ihre Familienangehörigen unter den Opfern der NS-Herrschaft vermuten, nur ein knappes Fünftel bezeichnet sie als Mitläufer, kaum drei Prozent als Täter.“ Insgesamt gehörten 8,5 Millionen Deutsche, darunter fast jeder vierte männliche Er</w:t>
      </w:r>
      <w:r>
        <w:t>wachsene, der NSDAP an.</w:t>
      </w:r>
    </w:p>
    <w:p w:rsidR="009738F3" w:rsidRDefault="0025623A">
      <w:pPr>
        <w:pStyle w:val="Zwischentitel"/>
      </w:pPr>
      <w:r>
        <w:t>Schutzfristen gewahrt</w:t>
      </w:r>
    </w:p>
    <w:p w:rsidR="009738F3" w:rsidRDefault="0025623A">
      <w:r>
        <w:t xml:space="preserve">Das Bundesarchiv besitzt auch eine Kopie der NSDAP-Mitgliederdaten. „Es hat die Kartei wegen der Schutzfristen beim bundesdeutschen Personenschutz, die einen öffentlichen Zugang zu personenbezogenen Akten erst </w:t>
      </w:r>
      <w:r>
        <w:t>100 Jahre nach der Geburt ermöglichen, bislang nicht veröffentlicht. Die Karten der jüngsten NSDAP-Parteimitglieder der Geburtsjahrgänge 1928 und 1927 hätten dann vorher aussortiert werden müssen“, erklärt Bajohr. Er geht davon aus, dass das Bundesarchiv n</w:t>
      </w:r>
      <w:r>
        <w:t xml:space="preserve">ach Ablauf dieser Schutzfristen die Mitgliederkartei im Internet veröffentlichen wird. „Dann hoffentlich mit deutlich verbesserter Suchfunktion“, sagt er. </w:t>
      </w:r>
    </w:p>
    <w:p w:rsidR="009738F3" w:rsidRDefault="0025623A">
      <w:r>
        <w:t>Die Redaktion der Wochenzeitung „Die Zeit“ hat den Bestand mit Hilfe von künstlicher Intelligenz deu</w:t>
      </w:r>
      <w:r>
        <w:t>tlich übersichtlicher durchsuchbar gemacht, als das im US-Nationalarchiv online möglich ist. Doch der Zugang liegt hinter einer Bezahlschranke.</w:t>
      </w:r>
    </w:p>
    <w:p w:rsidR="009738F3" w:rsidRDefault="0025623A">
      <w:r>
        <w:t>Anstatt online zu recherchieren, lassen sich auch Archive in Deutschland direkt für eine Recherche vor Ort konta</w:t>
      </w:r>
      <w:r>
        <w:t xml:space="preserve">ktieren. Personenbezogene Unterlagen zur NSDAP sowie die Akten der ehemaligen Wehrmachtauskunftsstelle sind beispielsweise am Standort des Bundesarchivs in Berlin-Lichterfelde verwahrt. </w:t>
      </w:r>
    </w:p>
    <w:p w:rsidR="009738F3" w:rsidRDefault="0025623A">
      <w:r>
        <w:t>Bajohr empfiehlt eine Online-Anmeldung per Kontaktformular. „Man kann</w:t>
      </w:r>
      <w:r>
        <w:t xml:space="preserve"> sich aber auch telefonisch oder schriftlich an das Bundesarchiv oder auch an andere lokale und regionale </w:t>
      </w:r>
      <w:r>
        <w:lastRenderedPageBreak/>
        <w:t xml:space="preserve">Archive wenden, um dort einen Benutzungsantrag zu erhalten.“ Nach der Bewilligung muss man die Recherchen im Archiv selbst durchführen. </w:t>
      </w:r>
    </w:p>
    <w:p w:rsidR="009738F3" w:rsidRDefault="0025623A">
      <w:r>
        <w:rPr>
          <w:b/>
        </w:rPr>
        <w:t xml:space="preserve">Jörg </w:t>
      </w:r>
      <w:r>
        <w:rPr>
          <w:b/>
        </w:rPr>
        <w:t>Ciszewski</w:t>
      </w:r>
    </w:p>
    <w:p w:rsidR="009738F3" w:rsidRDefault="0025623A">
      <w:pPr>
        <w:pStyle w:val="berschrift1"/>
      </w:pPr>
      <w:bookmarkStart w:id="34" w:name="_Toc230066571"/>
      <w:r>
        <w:t>„Anderssein ist eine Superkraft“</w:t>
      </w:r>
      <w:bookmarkEnd w:id="34"/>
    </w:p>
    <w:p w:rsidR="009738F3" w:rsidRDefault="0025623A">
      <w:pPr>
        <w:pStyle w:val="Standard-Fett"/>
      </w:pPr>
      <w:r>
        <w:t>Der Wormser Künstler und VdK-Mitglied Steven Elijah Neuhaus alias Elijah Presly hat eine Autobiografie geschrieben</w:t>
      </w:r>
    </w:p>
    <w:p w:rsidR="009738F3" w:rsidRDefault="0025623A">
      <w:pPr>
        <w:pStyle w:val="Vorspann"/>
      </w:pPr>
      <w:r>
        <w:t>Es ist die Geschichte eines Jungen, der spürte, dass er anders ist – und eines Mannes, der lernte,</w:t>
      </w:r>
      <w:r>
        <w:t xml:space="preserve"> daraus Kraft zu schöpfen. Steven Elijah Neuhaus lebt mit Autismus, Legasthenie und einer Sehbehinderung.  Er ist Musiker, Maler, Autor und VdK-Mitglied. Seine Kunst erzählt einen besonderen Lebensweg.</w:t>
      </w:r>
    </w:p>
    <w:p w:rsidR="009738F3" w:rsidRDefault="0025623A">
      <w:r>
        <w:t>„Stärke bedeutet nicht, niemals zu fallen. Stärke bede</w:t>
      </w:r>
      <w:r>
        <w:t>utet, immer wieder aufzustehen. Ich möchte Menschen, die so wie ich mit Einschränkungen leben müssen, Menschen, die von ihrer Umgebung als ,anders‘ abgestempelt und ausgegrenzt werden, Mut machen“, sagt Neuhaus. Der Künstler aus Worms lädt dazu ein, „die e</w:t>
      </w:r>
      <w:r>
        <w:t>igenen Brüche als Anfang zu sehen und die Umwege als Weg“.</w:t>
      </w:r>
    </w:p>
    <w:p w:rsidR="009738F3" w:rsidRDefault="0025623A">
      <w:pPr>
        <w:pStyle w:val="Zwischentitel"/>
      </w:pPr>
      <w:r>
        <w:t>Eine Stimme geben</w:t>
      </w:r>
    </w:p>
    <w:p w:rsidR="009738F3" w:rsidRDefault="0025623A">
      <w:r>
        <w:t xml:space="preserve">Mit seinem Projekt „Anderssein ist eine Superkraft“, das aus einer Autobiografie und seinem Debütalbum besteht, spricht er diese Einladung künstlerisch aus und  setzt ein Zeichen </w:t>
      </w:r>
      <w:r>
        <w:t>für Inklusion, Diversität und mentale Gesundheit. Das Buch erschien im Januar dieses Jahres, das dazugehörige Album mit 14 Songs und Gastsängerin Cassandra Steen zeitgleich.</w:t>
      </w:r>
    </w:p>
    <w:p w:rsidR="009738F3" w:rsidRDefault="0025623A">
      <w:r>
        <w:t>„Mit meiner Arbeit als Musiker, Autor und Maler möchte ich Menschen eine Stimme ge</w:t>
      </w:r>
      <w:r>
        <w:t xml:space="preserve">ben – insbesondere jenen, die oft nicht gehört werden, und das im sozial-philosophischen Kontext von Kunst und Gesellschaft“, betont der 36-Jährige, der auch Mitglied des Sozialverbands VdK ist.  </w:t>
      </w:r>
    </w:p>
    <w:p w:rsidR="009738F3" w:rsidRDefault="0025623A">
      <w:r>
        <w:t xml:space="preserve">Wer sein Buch liest, seine Songtexte hört und seine Bilder </w:t>
      </w:r>
      <w:r>
        <w:t>sieht, spürt, dass es Neuhaus immer um ein Lebensthema geht – die Auseinandersetzung mit seinen Beeinträchtigungen. Und welche Möglichkeiten sie ihm trotzdem bieten. Er fällt aus dem Rahmen, aber er fällt auf.</w:t>
      </w:r>
    </w:p>
    <w:p w:rsidR="009738F3" w:rsidRDefault="0025623A">
      <w:r>
        <w:t xml:space="preserve"> Nachdem er als Kind gemobbt wird, fängt Neuha</w:t>
      </w:r>
      <w:r>
        <w:t>us an zu boxen  und wird mit 16 Jahren Deutscher Meister und Vizeweltmeister im Kickboxen. Er ist Legastheniker und schreibt trotzdem Songtexte und ein Buch. Er arbeitet als Musiker, obwohl sein Musiklehrer zu ihm sagt: „Du bist  unmusikalisch.“ Im Pop, Hi</w:t>
      </w:r>
      <w:r>
        <w:t>p-Hop, Rap und Soul fühlt er sich wohl. Seit 20 Jahren ist Neuhaus auch Maler. Seine Kunst ist intensiv und zutiefst berührend.</w:t>
      </w:r>
    </w:p>
    <w:p w:rsidR="009738F3" w:rsidRDefault="0025623A">
      <w:r>
        <w:lastRenderedPageBreak/>
        <w:t>Der 36-Jährige hat die Erfahrung gemacht, dass vermeintliche Schwächen auch ein großes Potenzial in einem selbst entfalten könne</w:t>
      </w:r>
      <w:r>
        <w:t>n. Deshalb trägt sein aktuelles Projekt auch den Titel „Anderssein ist eine Superkraft“. Weiter sagt er: „Der Kampfsport hatte mir Disziplin und Stärke gegeben, aber die Kunst lehrte mich etwas viel Wertvolleres: die Kraft der Verwandlung.“</w:t>
      </w:r>
    </w:p>
    <w:p w:rsidR="009738F3" w:rsidRDefault="0025623A">
      <w:pPr>
        <w:pStyle w:val="Zwischentitel"/>
      </w:pPr>
      <w:r>
        <w:t>Kunst als Selbs</w:t>
      </w:r>
      <w:r>
        <w:t>thilfe</w:t>
      </w:r>
    </w:p>
    <w:p w:rsidR="009738F3" w:rsidRDefault="0025623A">
      <w:r>
        <w:t>Dabei strebt er ursprünglich eine Sportlerkarriere an. Doch nach gesundheitlichen Problemen findet er in der Kunst einen neuen Weg und auch „Selbsthilfe“, wie er es nennt. Neuhaus arbeitet mit Künstlern wie Max Giesinger, LEA, Henning Wehland oder L</w:t>
      </w:r>
      <w:r>
        <w:t xml:space="preserve">ions Head zusammen und ist  selbst fester Bestandteil der deutschen Musikszene. </w:t>
      </w:r>
    </w:p>
    <w:p w:rsidR="009738F3" w:rsidRDefault="0025623A">
      <w:r>
        <w:t>Seine Mutter und seine Oma, die vor einem Jahr verstorben ist, waren und sind sein Fundament, auf das er immer bauen konnte. Sie haben immer an ihn geglaubt. Mittlerweile glau</w:t>
      </w:r>
      <w:r>
        <w:t xml:space="preserve">bt er auch selbst an sich. „Wir brauchen mehr Menschen mit nicht gradlinigen Biografien, mit Ecken, Brüchen und eigenen Perspektiven – denn genau dort entsteht oft die ehrlichste und kreativste Form des Denkens“, sagt er heute. </w:t>
      </w:r>
    </w:p>
    <w:p w:rsidR="009738F3" w:rsidRDefault="0025623A">
      <w:r>
        <w:t xml:space="preserve">Für Steven Elijah Neuhaus, </w:t>
      </w:r>
      <w:r>
        <w:t>der unter seinem Künstlernamen Elijah Presly bekannt ist, ist Inklusion sehr wichtig, eben weil er selbst erleben musste, wie hart Anderssein sein kann. „Inklusion bedeutet für mich, individuelle Stärken sichtbar zu machen“, betont Neuhaus. Deshalb engagie</w:t>
      </w:r>
      <w:r>
        <w:t>rt  er sich auch als Inklusionsbeauftragter der Stadt Worms.</w:t>
      </w:r>
    </w:p>
    <w:p w:rsidR="009738F3" w:rsidRDefault="0025623A">
      <w:r>
        <w:t>Sein Buch hat er seinem Sohn gewidmet. Die nächsten Lesungen über seine Autobiografie „Anderssein ist eine Superkraft“ finden am 14. Juni in Hamburg und am 14. Juli in München statt. Lesungen und</w:t>
      </w:r>
      <w:r>
        <w:t xml:space="preserve"> Konzerte können per Mail angefragt werden unter steven@mannheim-musiclab.com</w:t>
      </w:r>
    </w:p>
    <w:p w:rsidR="009738F3" w:rsidRDefault="0025623A">
      <w:r>
        <w:t>Weitere Informationen gibt es  unter www.elijah-presly.dePetra J. Huschke</w:t>
      </w:r>
    </w:p>
    <w:p w:rsidR="009738F3" w:rsidRDefault="0025623A">
      <w:pPr>
        <w:pStyle w:val="berschrift1"/>
      </w:pPr>
      <w:bookmarkStart w:id="35" w:name="_Toc230066572"/>
      <w:r>
        <w:lastRenderedPageBreak/>
        <w:t>Anderssein isteine Superkraft</w:t>
      </w:r>
      <w:bookmarkEnd w:id="35"/>
    </w:p>
    <w:p w:rsidR="009738F3" w:rsidRDefault="0025623A">
      <w:pPr>
        <w:pStyle w:val="berschrift1"/>
      </w:pPr>
      <w:bookmarkStart w:id="36" w:name="_Toc230066573"/>
      <w:r>
        <w:t>Die Autobiografie von Steven Elijah Neuhaus gibt Einblicke in sein Leben m</w:t>
      </w:r>
      <w:r>
        <w:t>it Autismus, Legasthenie und Sehbehinderung.</w:t>
      </w:r>
      <w:bookmarkEnd w:id="36"/>
    </w:p>
    <w:p w:rsidR="009738F3" w:rsidRDefault="0025623A">
      <w:pPr>
        <w:pStyle w:val="berschrift1"/>
      </w:pPr>
      <w:bookmarkStart w:id="37" w:name="_Toc230066574"/>
      <w:r>
        <w:t>Verlag Monika Fuchs,200 Seiten.Preis: 20 Euro.</w:t>
      </w:r>
      <w:r>
        <w:t>  ISBN 978-3-947066-77-3</w:t>
      </w:r>
      <w:bookmarkEnd w:id="37"/>
    </w:p>
    <w:p w:rsidR="009738F3" w:rsidRDefault="0025623A">
      <w:pPr>
        <w:pStyle w:val="berschrift1"/>
      </w:pPr>
      <w:bookmarkStart w:id="38" w:name="_Toc230066575"/>
      <w:r>
        <w:t>Zwischen Tankrabatt und Krisenbremse</w:t>
      </w:r>
      <w:bookmarkEnd w:id="38"/>
    </w:p>
    <w:p w:rsidR="009738F3" w:rsidRDefault="0025623A">
      <w:pPr>
        <w:pStyle w:val="Standard-Fett"/>
      </w:pPr>
      <w:r>
        <w:t xml:space="preserve">Wenn gut gemeint nicht gut ankommt: Grenzen der Entlastungspolitik </w:t>
      </w:r>
    </w:p>
    <w:p w:rsidR="009738F3" w:rsidRDefault="0025623A">
      <w:pPr>
        <w:pStyle w:val="Vorspann"/>
      </w:pPr>
      <w:r>
        <w:t>Steigende Spritpreise belasten nic</w:t>
      </w:r>
      <w:r>
        <w:t>ht nur Autofahrerinnen und Autofahrer, sondern wirken sich auf Haushalte, Betriebe und die gesamte Wirtschaft aus. In solchen Krisenzeiten schnüren Regierungen Hilfspakete. Doch die entscheidende Frage lautet: Kommt die Entlastung tatsächlich bei den Mensc</w:t>
      </w:r>
      <w:r>
        <w:t>hen an?</w:t>
      </w:r>
    </w:p>
    <w:p w:rsidR="009738F3" w:rsidRDefault="0025623A">
      <w:r>
        <w:t>Deutschland setzt auf den sogenannten Tankrabatt. Die Idee ist simpel: Benzin und Diesel sollen über eine Steuersenkung kurzfristig günstiger werden. In der Praxis zeigt sich jedoch, dass die Entlastung nur teilweise an die Verbraucherinnen und Ver</w:t>
      </w:r>
      <w:r>
        <w:t>braucher weitergegeben wird. Das macht die Grenzen reiner Steuererleichterungen deutlich, wenn Marktmechanismen die Wirkung abschwächen.</w:t>
      </w:r>
    </w:p>
    <w:p w:rsidR="009738F3" w:rsidRDefault="0025623A">
      <w:r>
        <w:t>Unsere europäischen Nachbarn sind anders vorgegangen. Spanien legte ein Milliardenprogramm auf, das nicht nur Energiepr</w:t>
      </w:r>
      <w:r>
        <w:t xml:space="preserve">eise, sondern auch Mieten einbezog. Damit sollte verhindert werden, dass die Belastung sich auf immer mehr Lebensbereiche ausweitet. Italien unterstützte mit rund </w:t>
      </w:r>
      <w:r>
        <w:lastRenderedPageBreak/>
        <w:t>drei Milliarden Euro energieintensive Unternehmen und senkte für einen begrenzten Zeitraum di</w:t>
      </w:r>
      <w:r>
        <w:t>e Spritpreise um 25 Cent pro Liter. Frankreich setzte vor allem auf Kontrollen an Tankstellen, um überhöhte Preisaufschläge zu begrenzen. Wer dagegen verstößt, muss mit Strafen von bis zu 300 000 Euro rechnen. Hinzu kommt, dass der Energiekonzern Total Ene</w:t>
      </w:r>
      <w:r>
        <w:t>rgies in Frankreich weiterhin an der Preisobergrenze von 1,99 Euro pro Liter Benzin festhält, was die Verbraucherinnen und Verbraucher direkt entlastet. An Feiertagen wird zudem der Dieselpreis zusätzlich gesenkt. Österreich führte eine Spritpreisbremse ei</w:t>
      </w:r>
      <w:r>
        <w:t>n, die Preissprünge eindämmen soll.</w:t>
      </w:r>
    </w:p>
    <w:p w:rsidR="009738F3" w:rsidRDefault="0025623A">
      <w:pPr>
        <w:pStyle w:val="Zwischentitel"/>
      </w:pPr>
      <w:r>
        <w:t>Was der Vergleich zeigt</w:t>
      </w:r>
    </w:p>
    <w:p w:rsidR="009738F3" w:rsidRDefault="0025623A">
      <w:r>
        <w:t xml:space="preserve">Der Vergleich macht deutlich: Es gibt nicht die eine richtige Lösung. Deutschland wählte einen schnellen, aber nur begrenzt steuerbaren Weg. Andere Länder griffen direkter in die Preisbildung ein </w:t>
      </w:r>
      <w:r>
        <w:t>oder kombinierten verschiedene Instrumente. Entscheidend ist, dass staatliche Entlastungsmaßnahmen auch den gewünschten Erfolg erzielen. Die Unterstützung muss dort ankommen, wo sie gebraucht wird: bei Rentnerinnen und Rentnern, bei Geringverdienerinnen un</w:t>
      </w:r>
      <w:r>
        <w:t xml:space="preserve">d Geringverdienern, bei Familien und Pflegebedürftigen. Sonst bleiben gute Absichten wirkungslos. </w:t>
      </w:r>
    </w:p>
    <w:p w:rsidR="009738F3" w:rsidRDefault="0025623A">
      <w:r>
        <w:t>Der Tankrabatt war damit nicht nur eine kurzfristige Aktion, sondern auch ein Lehrstück über die Grenzen staatlicher Entlastungspolitik. Es braucht gezielte,</w:t>
      </w:r>
      <w:r>
        <w:t xml:space="preserve"> transparente Maßnahmen, die vor allem diejenigen unterstützen, die in besonderem Maß betroffen sind.  </w:t>
      </w:r>
      <w:r>
        <w:rPr>
          <w:b/>
        </w:rPr>
        <w:t>Robert Manu</w:t>
      </w:r>
    </w:p>
    <w:p w:rsidR="009738F3" w:rsidRDefault="0025623A">
      <w:pPr>
        <w:pStyle w:val="berschrift1"/>
      </w:pPr>
      <w:bookmarkStart w:id="39" w:name="_Toc230066576"/>
      <w:r>
        <w:t>Wohnkosten zehren kleine Renten auf</w:t>
      </w:r>
      <w:bookmarkEnd w:id="39"/>
    </w:p>
    <w:p w:rsidR="009738F3" w:rsidRDefault="0025623A">
      <w:pPr>
        <w:pStyle w:val="Standard-Fett"/>
      </w:pPr>
      <w:r>
        <w:t>Pestel-Institut: 5,1 Millionen Rentnerinnen und Rentner haben künftig 800 Euro oder weniger</w:t>
      </w:r>
    </w:p>
    <w:p w:rsidR="009738F3" w:rsidRDefault="0025623A">
      <w:pPr>
        <w:pStyle w:val="Vorspann"/>
      </w:pPr>
      <w:r>
        <w:t xml:space="preserve">Hohe Mieten und niedrige Renten könnten dazu führen, dass in den kommenden Jahren für viele Seniorinnen und Senioren das Geld kaum noch zum Leben reicht. Laut Pestel-Institut müssen mehr Menschen im Ruhestand staatliche Hilfen in Anspruch nehmen. </w:t>
      </w:r>
    </w:p>
    <w:p w:rsidR="009738F3" w:rsidRDefault="0025623A">
      <w:r>
        <w:t>Nach Ber</w:t>
      </w:r>
      <w:r>
        <w:t>echnungen des Pestel-Instituts werden in Deutschland künftig rund fünf Millionen Menschen der Babyboomer-Generation nach dem Eintritt in den Ruhestand gesetzliche Renten von weniger als 800 Euro im Monat erhalten. Das wären rund 40 Prozent der etwa 12,9 Mi</w:t>
      </w:r>
      <w:r>
        <w:t xml:space="preserve">llionen Menschen, die in den nächsten zehn Jahren in Rente gehen werden. </w:t>
      </w:r>
    </w:p>
    <w:p w:rsidR="009738F3" w:rsidRDefault="0025623A">
      <w:r>
        <w:t>Das Institut, das vor allem Kommunen und Verbände berät, führte diese Berechnungen im Auftrag der Gewerkschaft IG Bau durch. Zur Generation der Babyboomer zählt es die Geburtsjahrgän</w:t>
      </w:r>
      <w:r>
        <w:t>ge von 1960 bis 1969.</w:t>
      </w:r>
    </w:p>
    <w:p w:rsidR="009738F3" w:rsidRDefault="0025623A">
      <w:r>
        <w:lastRenderedPageBreak/>
        <w:t>Besonders alarmierend ist die Entwicklung in Nordrhein-Westfalen: Im bevölkerungsreichsten Bundesland droht laut Studie rund 1,1 Millionen älteren Menschen Wohnarmut. Viele Menschen hätten nach Abzug der Miete kaum genügend Geld zum L</w:t>
      </w:r>
      <w:r>
        <w:t>eben.</w:t>
      </w:r>
    </w:p>
    <w:p w:rsidR="009738F3" w:rsidRDefault="0025623A">
      <w:r>
        <w:t>Bereits heute sind dort mehr als 760 000 Seniorinnen und Senioren auf Grundsicherung im Alter angewiesen. Während vor 15 Jahren noch 2,5 Prozent der Rentnerinnen und Rentner betroffen waren, liegt der Anteil heute bei 4,3 Prozent.</w:t>
      </w:r>
    </w:p>
    <w:p w:rsidR="009738F3" w:rsidRDefault="0025623A">
      <w:r>
        <w:t>Gleichzeitig steige</w:t>
      </w:r>
      <w:r>
        <w:t>n die Mieten in Deutschland seit Jahren kontinuierlich an. Diese Entwicklung führt dazu, dass immer mehr Menschen im Alter Gefahr laufen, ihre grundlegenden Lebenshaltungskosten nicht mehr aus eigener Kraft finanzieren zu können. Wer dann einmal auf Grunds</w:t>
      </w:r>
      <w:r>
        <w:t>icherung angewiesen ist, hat nach Einschätzung des Pestel-Instituts kaum Chancen, dieser Situation wieder zu entkommen. Der Geschäftsführer des Instituts, Matthias Günther, warnt davor, dass in den kommenden zehn Jahren rund sieben Prozent aller Rentnerinn</w:t>
      </w:r>
      <w:r>
        <w:t xml:space="preserve">en und Rentner auf staatliche Unterstützung angewiesen sein könnten. </w:t>
      </w:r>
    </w:p>
    <w:p w:rsidR="009738F3" w:rsidRDefault="0025623A">
      <w:pPr>
        <w:pStyle w:val="Zwischentitel"/>
      </w:pPr>
      <w:r>
        <w:t>Gute Beratung nötig</w:t>
      </w:r>
    </w:p>
    <w:p w:rsidR="009738F3" w:rsidRDefault="0025623A">
      <w:r>
        <w:t>Eine wachsende Zahl älterer Menschen, denen wegen einer Verschuldung sogar der Verlust der Wohnung droht, verzeichnet auch die Bundesarbeitsgemeinschaft Wohnungslosen</w:t>
      </w:r>
      <w:r>
        <w:t xml:space="preserve">hilfe (BAG W). Wer sich in einer solchen Situation befindet, brauche gute Beratung. Doch das vorhandene Angebot sei lückenhaft und zudem unübersichtlich, so die Organisation. </w:t>
      </w:r>
    </w:p>
    <w:p w:rsidR="009738F3" w:rsidRDefault="0025623A">
      <w:r>
        <w:t>Als Bundesverband bietet die BAG W im Rahmen des Modellprojekts „Social Media St</w:t>
      </w:r>
      <w:r>
        <w:t>reetwork“ (SoMS) durch soziale Medien wie Instagram und Facebook erste Informationen bei Wohnungsnot. Sie vermittelt bei Bedarf auch an Beratungsstellen vor Ort und ist per Mail erreichbar unter soms@bagw.de.</w:t>
      </w:r>
    </w:p>
    <w:p w:rsidR="009738F3" w:rsidRDefault="0025623A">
      <w:r>
        <w:rPr>
          <w:b/>
        </w:rPr>
        <w:t>Jörg Ciszewski</w:t>
      </w:r>
    </w:p>
    <w:p w:rsidR="009738F3" w:rsidRDefault="0025623A">
      <w:r>
        <w:t xml:space="preserve"> </w:t>
      </w:r>
      <w:r>
        <w:rPr>
          <w:i/>
        </w:rPr>
        <w:t>www.bagw.de</w:t>
      </w:r>
    </w:p>
    <w:p w:rsidR="009738F3" w:rsidRDefault="0025623A">
      <w:pPr>
        <w:pStyle w:val="berschrift1"/>
      </w:pPr>
      <w:bookmarkStart w:id="40" w:name="_Toc230066577"/>
      <w:r>
        <w:t xml:space="preserve">Mit Verspätung in </w:t>
      </w:r>
      <w:r>
        <w:t>den Urlaub</w:t>
      </w:r>
      <w:bookmarkEnd w:id="40"/>
    </w:p>
    <w:p w:rsidR="009738F3" w:rsidRDefault="0025623A">
      <w:pPr>
        <w:pStyle w:val="Standard-Fett"/>
      </w:pPr>
      <w:r>
        <w:t>Fluggäste können Entschädigungen beantragen</w:t>
      </w:r>
    </w:p>
    <w:p w:rsidR="009738F3" w:rsidRDefault="0025623A">
      <w:pPr>
        <w:pStyle w:val="Vorspann"/>
      </w:pPr>
      <w:r>
        <w:t xml:space="preserve">Flugverspätungen, Ausfälle oder möglicher Kerosinmangel können den Urlaub gefährden. Passagiere sind jedoch nicht schutzlos. In der Europäischen Union gelten umfangreiche Fluggastrechte. </w:t>
      </w:r>
    </w:p>
    <w:p w:rsidR="009738F3" w:rsidRDefault="0025623A">
      <w:r>
        <w:t>Wer sein Flug</w:t>
      </w:r>
      <w:r>
        <w:t xml:space="preserve">ziel mit mehr als drei Stunden Verspätung erreicht, kann eine Entschädigung erhalten. Das gilt auch bei Ausfällen oder Nichtbeförderung wegen Überbuchung. Voraussetzung: Der Flug startet in der EU oder die Airline hat ihren Sitz in der EU. </w:t>
      </w:r>
    </w:p>
    <w:p w:rsidR="009738F3" w:rsidRDefault="0025623A">
      <w:r>
        <w:lastRenderedPageBreak/>
        <w:t>Laut Stiftung W</w:t>
      </w:r>
      <w:r>
        <w:t>arentest besteht bei Annullierungen und Ankunftsverspätungen von mindestens drei Stunden Anspruch auf eine pauschale Entschädigungszahlung von 250 Euro, 400 Euro oder 600 Euro pro Person – je nach Flugentfernung. Das gilt allerdings nicht, wenn „außergewöh</w:t>
      </w:r>
      <w:r>
        <w:t>nliche Umstände“ wie ein Unwetter oder ein Terroranschlag vorliegen. In welchen Fällen Kerosinmangel als außergewöhnlicher Umstand zählt, ist rechtlich allerdings noch nicht entschieden.</w:t>
      </w:r>
    </w:p>
    <w:p w:rsidR="009738F3" w:rsidRDefault="0025623A">
      <w:r>
        <w:t>Fällt ein Flug aus, muss die Fluggesellschaft für eine zumutbare Ersa</w:t>
      </w:r>
      <w:r>
        <w:t xml:space="preserve">tzbeförderung sorgen. Passagiere können auch selbst alternative Verbindungen mit anderen Airlines vorschlagen. Wer keine Ersatzbeförderung möchte, kann den Ticketpreis zurückfordern. </w:t>
      </w:r>
    </w:p>
    <w:p w:rsidR="009738F3" w:rsidRDefault="0025623A">
      <w:r>
        <w:t xml:space="preserve">Nachträgliche Preiserhöhungen wegen gestiegener Kerosinkosten sind zwar </w:t>
      </w:r>
      <w:r>
        <w:t xml:space="preserve">grundsätzlich möglich, viele entsprechende Klauseln gelten jedoch als unwirksam, informiert Stiftung Warentest. Sie rät: Betroffene sollten einer solchen Preiserhöhung ausdrücklich widersprechen. Sinnvoll ist, in solchen Fällen die Airline zu kontaktieren </w:t>
      </w:r>
      <w:r>
        <w:t>– dabei helfen Musterbriefe, die sich im Internet herunterladen lassen. Oft kann man die Entschädigung auch über ein Online-Formular der Fluggesellschaft beantragen. Alternativ unterstützt die Smartphone-App „Flugärger“ dabei, Ansprüche zu prüfen und per v</w:t>
      </w:r>
      <w:r>
        <w:t xml:space="preserve">orbereiteter E-Mail bei der Airline geltend zu machen. Die App lässt sich auf der Webseite der Verbraucherzentrale Nordrhein-Westfalen herunterladen.  </w:t>
      </w:r>
      <w:r>
        <w:rPr>
          <w:b/>
        </w:rPr>
        <w:t>cis</w:t>
      </w:r>
    </w:p>
    <w:p w:rsidR="009738F3" w:rsidRDefault="0025623A">
      <w:pPr>
        <w:pStyle w:val="berschrift1"/>
      </w:pPr>
      <w:bookmarkStart w:id="41" w:name="_Toc230066578"/>
      <w:r>
        <w:t>Verunsicherung durch Smart-Meter-Briefe</w:t>
      </w:r>
      <w:bookmarkEnd w:id="41"/>
    </w:p>
    <w:p w:rsidR="009738F3" w:rsidRDefault="0025623A">
      <w:pPr>
        <w:pStyle w:val="Vorspann"/>
      </w:pPr>
      <w:r>
        <w:t>Verbraucherinnen und Verbraucher erhalten irritierende Infopo</w:t>
      </w:r>
      <w:r>
        <w:t>st: Die Briefe vermitteln den Eindruck, dass eine Einbaupflicht für Smart-Meter-Stromzähler besteht. Das stimmt allerdings nicht.</w:t>
      </w:r>
    </w:p>
    <w:p w:rsidR="009738F3" w:rsidRDefault="0025623A">
      <w:r>
        <w:t>Verbraucherschützer warnen vor irreführenden Infobriefen, in denen eindringlich die Installation eines intelligenten Stromzähl</w:t>
      </w:r>
      <w:r>
        <w:t>ers Smart Meter nahegelegt wird. Die Geräte können die Zählerstände über ein Kommunikationsmodul direkt an die Netzbetreiber versenden. Einige Messstellenbetreiber, die nicht zum örtlichen Netzbetreiber gehören, versenden solche Briefe, die offiziell wirke</w:t>
      </w:r>
      <w:r>
        <w:t xml:space="preserve">n. Die Schreiben erwecken den Eindruck, dass eine gesetzliche Pflicht zum Einbau besteht. </w:t>
      </w:r>
    </w:p>
    <w:p w:rsidR="009738F3" w:rsidRDefault="0025623A">
      <w:r>
        <w:t>Die Verbraucherzentrale Nordrhein-Westfalen stellt klar, dass es keine grundsätzliche Verpflichtung für private Haushalte gibt. Sie erklärt, dass zwar bestimmte Haus</w:t>
      </w:r>
      <w:r>
        <w:t xml:space="preserve">halte mit intelligenten Messsystemen ausgestattet werden müssen. Die Entscheidung darüber treffen aber die zuständigen Betreiber der Messstelle – in der Regel die lokalen Stromnetzbetreiber. </w:t>
      </w:r>
    </w:p>
    <w:p w:rsidR="009738F3" w:rsidRDefault="0025623A">
      <w:r>
        <w:t>Die Pflicht-Einbauten betreffen nach Angaben der Verbraucherzent</w:t>
      </w:r>
      <w:r>
        <w:t xml:space="preserve">rale zum Beispiel Haushalte mit einem hohen Stromverbrauch von über 6000 Kilowattstunden pro Jahr, Betreiber von größeren Sonnenstrom-Anlagen, oder Verbraucher mit einer Wärmepumpe oder einer Wallbox zum Laden von E-Autos.  </w:t>
      </w:r>
      <w:r>
        <w:rPr>
          <w:b/>
        </w:rPr>
        <w:t>cis</w:t>
      </w:r>
    </w:p>
    <w:p w:rsidR="009738F3" w:rsidRDefault="0025623A">
      <w:pPr>
        <w:pStyle w:val="berschrift1"/>
      </w:pPr>
      <w:bookmarkStart w:id="42" w:name="_Toc230066579"/>
      <w:r>
        <w:lastRenderedPageBreak/>
        <w:t>So gelingt der Stromanbieter</w:t>
      </w:r>
      <w:r>
        <w:t>wechsel</w:t>
      </w:r>
      <w:bookmarkEnd w:id="42"/>
    </w:p>
    <w:p w:rsidR="009738F3" w:rsidRDefault="0025623A">
      <w:pPr>
        <w:pStyle w:val="Standard-Fett"/>
      </w:pPr>
      <w:r>
        <w:t>Aktuelle Tarife lassen sich über Portale im Internet vergleichen – Verträge können online abgeschlossen werden</w:t>
      </w:r>
    </w:p>
    <w:p w:rsidR="009738F3" w:rsidRDefault="0025623A">
      <w:pPr>
        <w:pStyle w:val="Vorspann"/>
      </w:pPr>
      <w:r>
        <w:t xml:space="preserve">Manche Menschen bleiben ihrem Stromanbieter eine lange Zeit treu, andere wiederum wechseln ihn jährlich. Mit der letzteren Methode spart </w:t>
      </w:r>
      <w:r>
        <w:t>man in der Regel Geld, muss dafür aber auch einen gewissen Aufwand betreiben.</w:t>
      </w:r>
    </w:p>
    <w:p w:rsidR="009738F3" w:rsidRDefault="0025623A">
      <w:r>
        <w:t xml:space="preserve">Hat der langjährige Stromanbieter die Preise erhöht oder die Ersparnis nicht zufriedenstellend an seine Kundinnen und Kunden weitergegeben, kann man sich in der Welt der Energieversorgungsunternehmen ja mal nach einer Alternative umschauen. </w:t>
      </w:r>
    </w:p>
    <w:p w:rsidR="009738F3" w:rsidRDefault="0025623A">
      <w:pPr>
        <w:pStyle w:val="Zwischentitel"/>
      </w:pPr>
      <w:r>
        <w:t>Strom sparen</w:t>
      </w:r>
    </w:p>
    <w:p w:rsidR="009738F3" w:rsidRDefault="0025623A">
      <w:r>
        <w:t>W</w:t>
      </w:r>
      <w:r>
        <w:t>em die jährlichen Stromkosten zu teuer werden, der sollte zunächst einmal überlegen, wo sich Strom im Haushalt sparen lässt. Einfache Tipps, wie die Nutzung von Eco-Programmen bei Wasch- und Spülmaschinen, der Austausch alter Glühbirnen und Halogenlampen d</w:t>
      </w:r>
      <w:r>
        <w:t xml:space="preserve">urch sparsame LED-Lampen oder der Einsatz eines Wasserkochers statt der Herdplatte, um Wasser zu erhitzen, können helfen, den Stromverbrauch zu senken. </w:t>
      </w:r>
    </w:p>
    <w:p w:rsidR="009738F3" w:rsidRDefault="0025623A">
      <w:r>
        <w:t>Ersetzt man in die Jahre gekommene Waschmaschinen oder Kühlschränke durch moderne, energieeffiziente Mo</w:t>
      </w:r>
      <w:r>
        <w:t>delle, muss man zwar erst einmal die Kosten für deren Anschaffung bewältigen, spart auf lange Sicht aber durch den deutlich geringeren Verbrauch.</w:t>
      </w:r>
    </w:p>
    <w:p w:rsidR="009738F3" w:rsidRDefault="0025623A">
      <w:r>
        <w:t>Durch einen Preisvergleich zwischen dem aktuellen Stromversorger und anderen Anbietern lässt sich oft eine wei</w:t>
      </w:r>
      <w:r>
        <w:t xml:space="preserve">tere, meist größere Einsparmöglichkeit entdecken. Insbesondere, wenn man einen vergleichsweise teuren Grundversorgungstarif besitzt oder schon länger von ein und demselben Unternehmen beliefert wird. </w:t>
      </w:r>
    </w:p>
    <w:p w:rsidR="009738F3" w:rsidRDefault="0025623A">
      <w:r>
        <w:t>Die Verbraucherzentrale empfiehlt Wechselwilligen, sich</w:t>
      </w:r>
      <w:r>
        <w:t xml:space="preserve"> auf einem Tarifportal im Internet zu informieren. Denn dort bekommen sie im Handumdrehen einen Überblick über zahlreiche Angebote und können diese direkt miteinander vergleichen. Für die Suche ist man bei einem der TÜV-geprüften Portale gut aufgehoben. </w:t>
      </w:r>
    </w:p>
    <w:p w:rsidR="009738F3" w:rsidRDefault="0025623A">
      <w:pPr>
        <w:pStyle w:val="Zwischentitel"/>
      </w:pPr>
      <w:r>
        <w:t>F</w:t>
      </w:r>
      <w:r>
        <w:t>ilter anpassen</w:t>
      </w:r>
    </w:p>
    <w:p w:rsidR="009738F3" w:rsidRDefault="0025623A">
      <w:r>
        <w:t>Verbraucherinnen und Verbraucher sollten zunächst die Filter-Optionen kontrollieren und gegebenenfalls anpassen. Diese sind nämlich teilweise nicht zum eigenen Vorteil voreingestellt. Daher gilt es, Folgendes zu beachten: Um die Jahreskosten</w:t>
      </w:r>
      <w:r>
        <w:t xml:space="preserve"> besser einschätzen zu können, sollten mögliche Boni nicht eingerechnet sein. Denn diese Boni gibt es in der Regel nur einmalig für Neukunden, sodass der Tarif beim gleichen Anbieter nach einer automatischen Vertragsverlängerung – dann ohne Preisnachlass –</w:t>
      </w:r>
      <w:r>
        <w:t xml:space="preserve"> deutlich teurer wird. </w:t>
      </w:r>
    </w:p>
    <w:p w:rsidR="009738F3" w:rsidRDefault="0025623A">
      <w:r>
        <w:lastRenderedPageBreak/>
        <w:t>Wer keine Wärmepumpe, keinen Batteriespeicher und keine Ladestation für E-Autos besitzt, sollte auf dynamische Tarife verzichten und sich nur Fixpreistarife anzeigen lassen. Außerdem ist es besser, die Einstellung „nur Tarife mit We</w:t>
      </w:r>
      <w:r>
        <w:t>chselmöglichkeit“, also direkt über das Portal, zu deaktivieren. Das schränkt ansonsten die Auswahl unnötig ein. Ähnlich verhält es sich mit der Auswahl „hohe Kundenempfehlungsquote“. Auch darauf sollte verzichtet werden, denn Kundinnen und Kunden können E</w:t>
      </w:r>
      <w:r>
        <w:t xml:space="preserve">mpfehlungen oft nur für die Tarife aussprechen, für die das Portal Provisionen erhält. </w:t>
      </w:r>
    </w:p>
    <w:p w:rsidR="009738F3" w:rsidRDefault="0025623A">
      <w:r>
        <w:t>Die sowieso meist schon lange Ergebnisliste lässt sich etwas übersichtlicher gestalten, wenn man den Filter so einstellt, dass jeweils nur ein Tarif pro Anbieter berück</w:t>
      </w:r>
      <w:r>
        <w:t>sichtigt wird. Als Vertragslaufzeit rät die Verbraucherzentrale zu einem Jahr. Eine Preisgarantie, die vor Preiserhöhungen schützen soll, ist nicht zwingend notwendig, denn wenn der Anbieter die Kosten anhebt, besteht in der Regel ein Sonderkündigungsrecht</w:t>
      </w:r>
      <w:r>
        <w:t>.</w:t>
      </w:r>
    </w:p>
    <w:p w:rsidR="009738F3" w:rsidRDefault="0025623A">
      <w:r>
        <w:t xml:space="preserve">Um den Wechsel des Stromversorgers umzusetzen, werden noch wichtige Informationen benötigt, allen voran Name und Anschrift, Zählernummer, Marktlokations-ID, Kundennummer und Kündigungsfrist beim aktuellen Stromanbieter sowie der Jahresverbrauch. All das </w:t>
      </w:r>
      <w:r>
        <w:t>findet man auch in der letzten Jahresrechnung. Normalerweise kann das neue Energieunternehmen den bisherigen Vertrag kündigen, wenn ihm eine entsprechende Vollmacht erteilt wurde. Der neue Vertrag lässt sich direkt beim Anbieter abschließen oder in manchen</w:t>
      </w:r>
      <w:r>
        <w:t xml:space="preserve"> Fällen auch über das Tarifportal.  </w:t>
      </w:r>
      <w:r>
        <w:rPr>
          <w:b/>
        </w:rPr>
        <w:t>Mirko Besch</w:t>
      </w:r>
    </w:p>
    <w:p w:rsidR="009738F3" w:rsidRDefault="0025623A">
      <w:pPr>
        <w:pStyle w:val="berschrift1"/>
      </w:pPr>
      <w:bookmarkStart w:id="43" w:name="_Toc230066580"/>
      <w:r>
        <w:t>„Nur eine Übergangslösung“</w:t>
      </w:r>
      <w:bookmarkEnd w:id="43"/>
    </w:p>
    <w:p w:rsidR="009738F3" w:rsidRDefault="0025623A">
      <w:pPr>
        <w:pStyle w:val="Standard-Fett"/>
      </w:pPr>
      <w:r>
        <w:t>Experte warnt vor dauerhaftem Gebrauch von Mehrfachsteckdosen</w:t>
      </w:r>
    </w:p>
    <w:p w:rsidR="009738F3" w:rsidRDefault="0025623A">
      <w:pPr>
        <w:pStyle w:val="Vorspann"/>
      </w:pPr>
      <w:r>
        <w:t xml:space="preserve">Mehrfachsteckdosen sind praktisch, aber mit Vorsicht zu handhaben. Denn bei falscher Anwendung kann diese vermeintlich </w:t>
      </w:r>
      <w:r>
        <w:t>einfache Lösung schnell zu einer Gefahr werden. Überhitzung oder sogar ein Brand drohen.</w:t>
      </w:r>
    </w:p>
    <w:p w:rsidR="009738F3" w:rsidRDefault="0025623A">
      <w:r>
        <w:t>Gibt es im Haus oder in der Wohnung nicht ausreichend Steckdosen, um alle Geräte anschließen zu können, scheinen Mehrfachsteckdosen die ideale Lösung zu sein. Damit ka</w:t>
      </w:r>
      <w:r>
        <w:t>nn die vorhandene Elektroinstallation schnell um ein paar Steckdosen erweitert werden. Für den Anschluss einiger Geräte ist das auch möglich, doch man muss dabei sehr gut aufpassen. Andreas Habermehl, Geschäftsführer Technik und Berufsbildung im Zentralver</w:t>
      </w:r>
      <w:r>
        <w:t>band der Deutschen Elektro- und Informationstechnischen Handwerke (ZVEH), betont: „Für Geräte mit niedrigem Verbrauch – PC, Monitor, Router oder Ladegerät – ist die Steckdosenleiste akzeptabel. Bei Hochverbrauchern gilt ein klares Nein. Keinesfalls sind Me</w:t>
      </w:r>
      <w:r>
        <w:t xml:space="preserve">hrfachsteckdosen für Geräte mit höherer Leistung wie Kühlschränke, Heißluftfritteusen und besonders Heizlüfter zu verwenden.“ </w:t>
      </w:r>
    </w:p>
    <w:p w:rsidR="009738F3" w:rsidRDefault="0025623A">
      <w:r>
        <w:t>Denn Mehrfachsteckdosen sind  generell nicht für große Lasten ausgelegt. Dabei ist nicht die Anzahl der angeschlossenen Geräte en</w:t>
      </w:r>
      <w:r>
        <w:t xml:space="preserve">tscheidend, sondern deren Art und Stromverbrauch, heißt </w:t>
      </w:r>
      <w:r>
        <w:lastRenderedPageBreak/>
        <w:t>es beim ZVEH. Die maximale Belastbarkeit – meist rund 3600 Watt – ist auf den meisten Steckdosenleisten ablesbar. Habermehl rät, den Verbrauch aller angeschlossenen Geräte zusammenzurechnen und mit di</w:t>
      </w:r>
      <w:r>
        <w:t>esem Wert zu vergleichen. Und warnt dennoch vor einem Dauergebrauch mit einer solch hohen Last. „Wird die Mehrfachsteckdose tatsächlich dauerhaft mit der Maximalleistung belastet, kann dies zu einer unzulässigen Erwärmung der Steckdose und des Kabels führe</w:t>
      </w:r>
      <w:r>
        <w:t xml:space="preserve">n“, erklärt er. </w:t>
      </w:r>
    </w:p>
    <w:p w:rsidR="009738F3" w:rsidRDefault="0025623A">
      <w:pPr>
        <w:pStyle w:val="Zwischentitel"/>
      </w:pPr>
      <w:r>
        <w:t>Keine großen Lasten</w:t>
      </w:r>
    </w:p>
    <w:p w:rsidR="009738F3" w:rsidRDefault="0025623A">
      <w:r>
        <w:t>„Wer seine Steckdosenleiste regelmäßig stark belastet, riskiert beschleunigten Materialverschleiß“, so der Experte. „Kontakte und Isolierung altern schneller, der Übergangswiderstand steigt – und damit auch die Wärmeent</w:t>
      </w:r>
      <w:r>
        <w:t>wicklung. Eine stark beanspruchte Leiste wird so mit der Zeit zum wachsenden Sicherheitsrisiko.“ Er warnt zudem eindringlich davor, eine Mehrfachsteckdose mit einer weiteren Steckdosenleiste zu verlängern: „Es darf nur eine Mehrfachsteckdose pro Wandsteckd</w:t>
      </w:r>
      <w:r>
        <w:t>ose verwendet werden.“</w:t>
      </w:r>
    </w:p>
    <w:p w:rsidR="009738F3" w:rsidRDefault="0025623A">
      <w:r>
        <w:t>Noch gefährlicher wird es, wenn Steckersolargeräte, wie bei Balkonkraftwerken, über eine Mehrfachsteckdose eingespeist werden. Auch wenn das nicht erlaubt ist, passiert es laut Habermehl immer wieder.</w:t>
      </w:r>
    </w:p>
    <w:p w:rsidR="009738F3" w:rsidRDefault="0025623A">
      <w:r>
        <w:t xml:space="preserve">„Mehrfachsteckdosen sollten nur </w:t>
      </w:r>
      <w:r>
        <w:t>eine Not- beziehungsweise Übergangslösung und grundsätzlich keine Dauerlösung sein“, resümiert er. „Wer dauerhaft zu wenig Steckdosen hat, sollte die Installation nachrüsten lassen – kurzfristig mit Aufputz-Steckdosen. Langfristig ist die professionelle Mo</w:t>
      </w:r>
      <w:r>
        <w:t xml:space="preserve">dernisierung der Elektroinstallation der beste Ratschlag.“  </w:t>
      </w:r>
      <w:r>
        <w:rPr>
          <w:b/>
        </w:rPr>
        <w:t>Petra J. Huschke</w:t>
      </w:r>
    </w:p>
    <w:p w:rsidR="009738F3" w:rsidRDefault="0025623A">
      <w:pPr>
        <w:pStyle w:val="berschrift1"/>
      </w:pPr>
      <w:bookmarkStart w:id="44" w:name="_Toc230066581"/>
      <w:r>
        <w:t>Zeitersparnis mit Haken</w:t>
      </w:r>
      <w:bookmarkEnd w:id="44"/>
    </w:p>
    <w:p w:rsidR="009738F3" w:rsidRDefault="0025623A">
      <w:pPr>
        <w:pStyle w:val="Standard-Fett"/>
      </w:pPr>
      <w:r>
        <w:t>Steuererklärung per App nicht für alle geeignet</w:t>
      </w:r>
    </w:p>
    <w:p w:rsidR="009738F3" w:rsidRDefault="0025623A">
      <w:pPr>
        <w:pStyle w:val="Vorspann"/>
      </w:pPr>
      <w:r>
        <w:t xml:space="preserve">Der Traum vieler Steuerzahlenden wird dieses Jahr wahr: Ab dem 1. Juli lässt sich eine vereinfachte </w:t>
      </w:r>
      <w:r>
        <w:t>Steuererklärung mit dem Smartphone im Ein-Klick-Verfahren erledigen. Doch das zeitsparende Angebot hat auch Nachteile.</w:t>
      </w:r>
    </w:p>
    <w:p w:rsidR="009738F3" w:rsidRDefault="0025623A">
      <w:r>
        <w:t>Seit Ende März können sich Interessierte für die „Steuererklärung mit einem Klick“ in der App „MeinElster+“ anmelden. Die neu entwickelte</w:t>
      </w:r>
      <w:r>
        <w:t xml:space="preserve"> App der Finanzbehörden wird mit dem persönlichen Elster-Konto verbunden, um die vorausgefüllte Steuererklärung (VaSt) inklusive einer ersten Steuerberechnung vom Finanzamt anzufordern. Dabei werden jedoch lediglich die elektronisch übermittelten Daten übe</w:t>
      </w:r>
      <w:r>
        <w:t xml:space="preserve">rnommen, die dem Finanzamt bereits vorliegen – also zum Beispiel Lohn, Lohnsteuer, Rentenbezüge und Sozialversicherungsbeiträge. </w:t>
      </w:r>
    </w:p>
    <w:p w:rsidR="009738F3" w:rsidRDefault="0025623A">
      <w:r>
        <w:t>„Die Steuerpflichtigen sollten den Vorschlag nicht ungeprüft akzeptieren“, betont David Martens, Geschäftsführer des Bundesver</w:t>
      </w:r>
      <w:r>
        <w:t>bands Lohnsteuerhilfevereine. Das bedeutet: App-Nutzerinnen und -Nutzer müssen die Richtigkeit der Angaben überprüfen und selbst aktiv werden, um ihre individuellen Ausgaben geltend zu machen. Nur so vermeiden sie, zu viel Steuern zu zahlen.</w:t>
      </w:r>
    </w:p>
    <w:p w:rsidR="009738F3" w:rsidRDefault="0025623A">
      <w:r>
        <w:lastRenderedPageBreak/>
        <w:t>Wer also vom F</w:t>
      </w:r>
      <w:r>
        <w:t>inanzamt eine maximale Rückerstattung erhalten möchte und individuelle Ausgaben für Beruf, Krankheit, Handwerkerleistungen oder Spenden über die gesetzlichen Pauschalen hinaus absetzen kann, muss sich weiterhin die Mühe machen, Belege zu sammeln und die Au</w:t>
      </w:r>
      <w:r>
        <w:t>sgaben ins richtige Feld der Erklärung einzutragen.</w:t>
      </w:r>
    </w:p>
    <w:p w:rsidR="009738F3" w:rsidRDefault="0025623A">
      <w:r>
        <w:t>Kurzum: Das Ein-Klick-Verfahren ist derzeit nur für sehr einfache Steuerfälle mit wenig Potenzial zum Absetzen geeignet. Die finanziellen Einbußen sind in solchen Fällen überschaubar. Im Gegenzug übernimm</w:t>
      </w:r>
      <w:r>
        <w:t xml:space="preserve">t die App die oft als lästig empfundene Arbeit und erlöst von dieser Bürde. </w:t>
      </w:r>
    </w:p>
    <w:p w:rsidR="009738F3" w:rsidRDefault="0025623A">
      <w:pPr>
        <w:pStyle w:val="Zwischentitel"/>
      </w:pPr>
      <w:r>
        <w:t>Ausweitung geplant</w:t>
      </w:r>
    </w:p>
    <w:p w:rsidR="009738F3" w:rsidRDefault="0025623A">
      <w:r>
        <w:t>Steuerpflichtige, die Einkünfte aus Vermietung oder selbstständiger Tätigkeit erzielen, Kapitalerträge versteuern müssen, Steuerabzüge für Kinder geltend machen</w:t>
      </w:r>
      <w:r>
        <w:t xml:space="preserve"> oder als Ehepaar eine Zusammenveranlagung beantragen wollen, können das Angebot sowieso noch nicht nutzen. Denn die Funktion steht aktuell nur ledigen und kinderlosen Arbeitnehmenden sowie Altersrentnerinnen und -rentnern ohne zusätzliche Einkünfte zur Ve</w:t>
      </w:r>
      <w:r>
        <w:t>rfügung. Eine Ausweitung auf andere Zielgruppen ist für die Zukunft geplant.</w:t>
      </w:r>
    </w:p>
    <w:p w:rsidR="009738F3" w:rsidRDefault="0025623A">
      <w:r>
        <w:t>Die meisten Steuerpflichtigen müssen ihre Steuererklärung für  2025 bis Ende Juli 2026 beim Finanzamt einreichen. Wird eine steuerliche Beratung beauftragt, verlängert sich die Fr</w:t>
      </w:r>
      <w:r>
        <w:t xml:space="preserve">ist bis Anfang März 2027. </w:t>
      </w:r>
      <w:r>
        <w:rPr>
          <w:b/>
        </w:rPr>
        <w:t>mib</w:t>
      </w:r>
    </w:p>
    <w:p w:rsidR="009738F3" w:rsidRDefault="0025623A">
      <w:pPr>
        <w:pStyle w:val="berschrift1"/>
      </w:pPr>
      <w:bookmarkStart w:id="45" w:name="_Toc230066582"/>
      <w:r>
        <w:t>Urlaub auf Balkonien</w:t>
      </w:r>
      <w:bookmarkEnd w:id="45"/>
    </w:p>
    <w:p w:rsidR="009738F3" w:rsidRDefault="0025623A">
      <w:pPr>
        <w:pStyle w:val="Standard-Fett"/>
      </w:pPr>
      <w:r>
        <w:t>Es gibt viele Möglichkeiten, das eigene Domizil aufzuhübschen und es sich zu Hause gemütlich zu machen</w:t>
      </w:r>
    </w:p>
    <w:p w:rsidR="009738F3" w:rsidRDefault="0025623A">
      <w:pPr>
        <w:pStyle w:val="Vorspann"/>
      </w:pPr>
      <w:r>
        <w:t>Einkaufen, Wohnen, Tanken – alles wird teurer. Viele Menschen verzichten in diesem Sommer auf Reisen u</w:t>
      </w:r>
      <w:r>
        <w:t>nd machen stattdessen Urlaub auf Balkonien. Dabei kann aus der Not eine Tugend gemacht werden: Kein Urlaub ist so umweltfreundlich wie Ferien zu Hause. Es gibt weder Stress mit Packen, noch mit der An- und Abreise. Man hat schlicht mehr Freizeit.</w:t>
      </w:r>
    </w:p>
    <w:p w:rsidR="009738F3" w:rsidRDefault="0025623A">
      <w:r>
        <w:t>Während a</w:t>
      </w:r>
      <w:r>
        <w:t>ndere im Stau stehen und schon ein oder zwei Tage des Urlaubs für die Hin- und Rückreise einplanen müssen, kann der Urlaub auf dem Balkon oder der Terrasse sofort beginnen. Man hinterlässt keinen großen ökologischen Fußabdruck, weil aufs Flugzeug oder lang</w:t>
      </w:r>
      <w:r>
        <w:t>e Fahrten mit dem Auto verzichtet wird. Doch südliche Urlaubsstimmung muss niemand entbehren, denn es gibt auch für das eigene Zuhause viele Möglichkeiten, es aufzuhübschen.</w:t>
      </w:r>
    </w:p>
    <w:p w:rsidR="009738F3" w:rsidRDefault="0025623A">
      <w:pPr>
        <w:pStyle w:val="Zwischentitel"/>
      </w:pPr>
      <w:r>
        <w:t>Blumen und Kräuter</w:t>
      </w:r>
    </w:p>
    <w:p w:rsidR="009738F3" w:rsidRDefault="0025623A">
      <w:r>
        <w:t>So kann mit wenigen Handgriffen und mit wenig finanziellem Aufw</w:t>
      </w:r>
      <w:r>
        <w:t xml:space="preserve">and der Außenbereich in eine Wohlfühloase verwandelt werden. Dazu braucht es vor allem Pflanzen. Mit vielen Blumen und </w:t>
      </w:r>
      <w:r>
        <w:lastRenderedPageBreak/>
        <w:t xml:space="preserve">Kräutern kann der Urlaub kommen. Selbst auf kleinstem Raum lässt sich mit Töpfen oder Balkonboxen viel Grün schaffen. </w:t>
      </w:r>
    </w:p>
    <w:p w:rsidR="009738F3" w:rsidRDefault="0025623A">
      <w:r>
        <w:t>Oft prägen noch Ge</w:t>
      </w:r>
      <w:r>
        <w:t>ranien und Petunien hierzulande viele Balkone. Davon rät Dr. Lutz Popp, stellvertretender Geschäftsführer des Bayerischen Landesverbands für Gartenbau und Landespflege, jedoch eher ab und favorisiert andere Blumen wie Mädchenauge, Fingerhut, Storchschnabel</w:t>
      </w:r>
      <w:r>
        <w:t xml:space="preserve">, Zinnie, Zweizahn oder Dahlie. Die Pflanzen müssen je nach Lage des Balkons ausgewählt werden. Denn manche bevorzugen einen sonnigen Standort, andere fühlen sich im Schatten wohler. „Kräuter wie Schnittlauch, Thymian, Majoran, Basilikum, Salbei, Oregano, </w:t>
      </w:r>
      <w:r>
        <w:t xml:space="preserve">Lavendel, Rosmarin, Zitronenmelisse und Pfefferminze-Arten mögen Sonne“, sagt Popp. Sie machen sich nicht nur bei der Zubereitung von Salaten, Dressings und Cocktails gut – sie sind auch besonders hübsch anzusehen. </w:t>
      </w:r>
    </w:p>
    <w:p w:rsidR="009738F3" w:rsidRDefault="0025623A">
      <w:pPr>
        <w:pStyle w:val="Zwischentitel"/>
      </w:pPr>
      <w:r>
        <w:t>Südliches Flair</w:t>
      </w:r>
    </w:p>
    <w:p w:rsidR="009738F3" w:rsidRDefault="0025623A">
      <w:r>
        <w:t>„Außerdem sind ihre Blüt</w:t>
      </w:r>
      <w:r>
        <w:t>en eine wichtige Nahrungsgrundlage für Wild- und Honigbienen, Käfer und Schmetterlinge“, betont Popp. Die Kräuter duften angenehm, lassen sich direkt beim Kochen verwenden und schaffen südliches Flair.</w:t>
      </w:r>
    </w:p>
    <w:p w:rsidR="009738F3" w:rsidRDefault="0025623A">
      <w:r>
        <w:t xml:space="preserve">Popp: „Wer unsicher bei der Auswahl der Pflanzen ist, </w:t>
      </w:r>
      <w:r>
        <w:t xml:space="preserve">kann sich im Fachhandel beraten lassen. Es gibt für jedes Plätzchen prächtige Blumen sowie Kräuter und einige Gemüsesorten für Selbstversorger.“ Nicht zuletzt sei der persönliche Geschmack wichtig. „Für mediterranen Charme sorgen Orangen-, Pfirsich- oder  </w:t>
      </w:r>
      <w:r>
        <w:t>Zitronenbäumchen.“</w:t>
      </w:r>
    </w:p>
    <w:p w:rsidR="009738F3" w:rsidRDefault="0025623A">
      <w:r>
        <w:t>Selbst aus dem kleinsten Freisitz kann man mit etwas Geschick ein kleines Paradies machen. Deko-Elemente wie eine Tischdecke, farbenfrohe Kissen, buntes  Geschirr, Windspiele, Solarleuchten, Laternen und Kerzen für den Abend sorgen für U</w:t>
      </w:r>
      <w:r>
        <w:t>rlaubsfeeling. Bequeme Sitzmöbel, ein Sonnensegel, eine Hängematte oder auch ein Tischgrill sind ebenfalls eine gute Investition.</w:t>
      </w:r>
    </w:p>
    <w:p w:rsidR="009738F3" w:rsidRDefault="0025623A">
      <w:pPr>
        <w:pStyle w:val="Zwischentitel"/>
      </w:pPr>
      <w:r>
        <w:t>Einfach entspannen</w:t>
      </w:r>
    </w:p>
    <w:p w:rsidR="009738F3" w:rsidRDefault="0025623A">
      <w:r>
        <w:t>So wird das eigene Zuhause zum schönen Rückzugsort nicht nur für ein paar Wochen im Jahr. Einfach  entspann</w:t>
      </w:r>
      <w:r>
        <w:t>en, ein Buch lesen, auf dem Laptop einen Film anschauen, ein Fußbad nehmen, Kaffee, Eistee oder einen selbst zubereiteten Cocktail trinken, gemütlich essen – wer für das richtige Ambiente sorgt, kann sich dauerhaft an kleinen Dingen erfreuen. Das schafft e</w:t>
      </w:r>
      <w:r>
        <w:t>chte Erholung, ohne dafür tief in die Tasche greifen zu müssen.</w:t>
      </w:r>
    </w:p>
    <w:p w:rsidR="009738F3" w:rsidRDefault="0025623A">
      <w:r>
        <w:t>Ausflüge in nahe gelegene Städte oder Regionen, ein kleiner Einkaufsbummel, Wanderungen oder Fahrradtouren sorgen für Abwechslung. Es kann spannend sein, die nähere Umgebung zu erkunden und Or</w:t>
      </w:r>
      <w:r>
        <w:t xml:space="preserve">te zu entdecken, die man bislang nie besucht hat – oder sie wiederzuentdecken. Waldbaden oder im See baden kann man oft ganz in der Nähe. Und am Abend schließlich den Tag auf dem schön eingerichteten Balkon zu Ende gehen lassen. </w:t>
      </w:r>
      <w:r>
        <w:rPr>
          <w:b/>
        </w:rPr>
        <w:t>Petra J. Huschke</w:t>
      </w:r>
    </w:p>
    <w:p w:rsidR="009738F3" w:rsidRDefault="0025623A">
      <w:pPr>
        <w:pStyle w:val="berschrift1"/>
      </w:pPr>
      <w:bookmarkStart w:id="46" w:name="_Toc230066583"/>
      <w:r>
        <w:lastRenderedPageBreak/>
        <w:t>Wäsche auf</w:t>
      </w:r>
      <w:r>
        <w:t>peppen</w:t>
      </w:r>
      <w:bookmarkEnd w:id="46"/>
    </w:p>
    <w:p w:rsidR="009738F3" w:rsidRDefault="0025623A">
      <w:pPr>
        <w:pStyle w:val="Standard-Fett"/>
      </w:pPr>
      <w:r>
        <w:t>Viele Textilien lassen sich zu Hause färben</w:t>
      </w:r>
    </w:p>
    <w:p w:rsidR="009738F3" w:rsidRDefault="0025623A">
      <w:pPr>
        <w:pStyle w:val="Vorspann"/>
      </w:pPr>
      <w:r>
        <w:t>Helle Kleidung dunkler färben oder Jeans auffrischen – beides ist mit der Waschmaschine möglich. Das bringt frischen Wind in den Kleiderschrank und hilft, so manches verblasste Stück nicht in die Altkleide</w:t>
      </w:r>
      <w:r>
        <w:t>rsammlung geben zu müssen.</w:t>
      </w:r>
    </w:p>
    <w:p w:rsidR="009738F3" w:rsidRDefault="0025623A">
      <w:r>
        <w:t xml:space="preserve">Naturfasern wie Baumwolle, Leinen, Viskose oder Mischgewebe mit hohem Naturfaseranteil lassen sich gut färben. Rein synthetische Stoffe sind dagegen nicht geeignet. Spezielle Textilfarben, die es im Handel zu kaufen gibt, werden </w:t>
      </w:r>
      <w:r>
        <w:t>direkt in die Trommel der Waschmaschine gegeben. Die genaue Anweisung, und mit welcher Temperatur jeweils mit der Farbe gewaschen wird, steht auf den Färbeprodukten. Um optimale Ergebnisse zu bekommen, sollten die Färbemittel-Anleitungen strikt befolgt  we</w:t>
      </w:r>
      <w:r>
        <w:t>rden. Die Farbe verteilt sich während des Waschvorgangs in den Fasern. Tipp: Die Waschmaschine nicht zu voll beladen, damit alle Textilien eingefärbt werden.</w:t>
      </w:r>
    </w:p>
    <w:p w:rsidR="009738F3" w:rsidRDefault="0025623A">
      <w:r>
        <w:t>Um Farbrückstände für Folgewäschen auszuschließen, sollte direkt danach ein heißer Waschgang mit P</w:t>
      </w:r>
      <w:r>
        <w:t xml:space="preserve">utztüchern oder ganz ohne Inhalt gemacht werden. Waschmittel muss dann mit in die Maschine.  </w:t>
      </w:r>
      <w:r>
        <w:rPr>
          <w:b/>
        </w:rPr>
        <w:t>pet</w:t>
      </w:r>
    </w:p>
    <w:p w:rsidR="009738F3" w:rsidRDefault="0025623A">
      <w:pPr>
        <w:pStyle w:val="berschrift1"/>
      </w:pPr>
      <w:bookmarkStart w:id="47" w:name="_Toc230066584"/>
      <w:r>
        <w:t>Linsen – Stars der modernen Küche</w:t>
      </w:r>
      <w:bookmarkEnd w:id="47"/>
    </w:p>
    <w:p w:rsidR="009738F3" w:rsidRDefault="0025623A">
      <w:pPr>
        <w:pStyle w:val="Standard-Fett"/>
      </w:pPr>
      <w:r>
        <w:t>Die Hülsenfrüchte sind sättigend und bringen Abwechslung auf den Teller</w:t>
      </w:r>
    </w:p>
    <w:p w:rsidR="009738F3" w:rsidRDefault="0025623A">
      <w:pPr>
        <w:pStyle w:val="Vorspann"/>
      </w:pPr>
      <w:r>
        <w:t>Von Omas Linsensuppe und Arme-Leute-Essen zum Superfo</w:t>
      </w:r>
      <w:r>
        <w:t>od: Linsen zu essen, ist im Trend. Die sättigenden Hülsenfrüchte sind Nährstoffpakete und können abwechslungsreich zubereitet werden. Sie stehen für eine moderne Küche wie kaum ein anderes Lebensmittel.</w:t>
      </w:r>
    </w:p>
    <w:p w:rsidR="009738F3" w:rsidRDefault="0025623A">
      <w:r>
        <w:t>Linsen gehören zu den ältesten Kulturpflanzen überhau</w:t>
      </w:r>
      <w:r>
        <w:t>pt und gelten als Grundnahrungsmittel. In Deutschland waren sie lange Zeit ein Arme-Leute-Essen. Denn sie machen schnell satt und sind preiswert. Linseneintopf gab es anno dazumal sehr oft im Monat. An Duft und Geschmack von Omas Linseneintopf erinnern sic</w:t>
      </w:r>
      <w:r>
        <w:t xml:space="preserve">h viele noch, seit Jahren erlebt das Gericht eine Renaissance. </w:t>
      </w:r>
    </w:p>
    <w:p w:rsidR="009738F3" w:rsidRDefault="0025623A">
      <w:r>
        <w:t xml:space="preserve">Das liegt an einer Zunahme vegetarischer und veganer Ernährungsformen und auch an neuen wissenschaftlichen Erkenntnissen. Bei Linsen handelt es sich um ein sogenanntes Superfood: Sie </w:t>
      </w:r>
      <w:r>
        <w:lastRenderedPageBreak/>
        <w:t>bieten po</w:t>
      </w:r>
      <w:r>
        <w:t xml:space="preserve">sitive gesundheitliche Effekte – das wurde mehrfach wissenschaftlich bewiesen. Linsen bestehen zu einem Fünftel aus Proteinen. Sie sind zudem reich an komplexen Kohlenhydraten, wodurch der Blutzuckerspiegel stabil bleibt. Sie haben wenig Fett, dafür viele </w:t>
      </w:r>
      <w:r>
        <w:t>Ballaststoffe, Vitamine und Mineralstoffe.</w:t>
      </w:r>
    </w:p>
    <w:p w:rsidR="009738F3" w:rsidRDefault="0025623A">
      <w:r>
        <w:t xml:space="preserve">Linsen sind nur im gekochten Zustand essbar, roh sind sie giftig. Deshalb werden die Hülsenfrüchte im Handel oft bereits gekocht in Konserven angeboten. Man kann sie aber auch in getrocknetem Zustand kaufen. Dann </w:t>
      </w:r>
      <w:r>
        <w:t xml:space="preserve">muss man sie vor dem Kochen einweichen. Es gibt eine Vielzahl von Linsensorten, dementsprechend ist auch die Rezeptvielfalt groß. </w:t>
      </w:r>
    </w:p>
    <w:p w:rsidR="009738F3" w:rsidRDefault="0025623A">
      <w:r>
        <w:t>Am häufigsten sind braune Linsen: Diese haben ein erdiges Aroma. Sie werden beim Kochen weicher und sind ideal für kräftige E</w:t>
      </w:r>
      <w:r>
        <w:t xml:space="preserve">intöpfe und Suppen. Grüne Linsen sind perfekt für Salate, weil sie beim Kochen ihre Form behalten. Rote Linsen garen schnell und werden breiig, weshalb sie sich besonders für Pürees eignen. Gelbe Linsen ähneln in der Konsistenz den roten Linsen. Sie haben </w:t>
      </w:r>
      <w:r>
        <w:t>aber einen etwas milderen Geschmack. Schwarze Linsen, auch Beluga-Linsen genannt, bleiben beim Kochen bissfest und sind deshalb auch für Salate geeignet. Dasselbe gilt für Puy-Linsen, die einen  leicht pfeffrigen Geschmack haben. Beluga- und Puy-Linsen  ge</w:t>
      </w:r>
      <w:r>
        <w:t>lten als Delikatess-Linsen.</w:t>
      </w:r>
    </w:p>
    <w:p w:rsidR="009738F3" w:rsidRDefault="0025623A">
      <w:pPr>
        <w:pStyle w:val="Zwischentitel"/>
      </w:pPr>
      <w:r>
        <w:t>Populär und günstig</w:t>
      </w:r>
    </w:p>
    <w:p w:rsidR="009738F3" w:rsidRDefault="0025623A">
      <w:r>
        <w:t xml:space="preserve">Linsen lassen sich in Eintöpfen, Suppen, Salaten, Chutneys, Aufstrichen oder als orientalisches Curry verwenden. Star-Köche und Food-Blogger haben sie fest in ihrem Repertoire. </w:t>
      </w:r>
    </w:p>
    <w:p w:rsidR="009738F3" w:rsidRDefault="0025623A">
      <w:r>
        <w:t>Um die biologische Wertigkeit des pflanzlichen Eiweißes zu erhöhen, können die Hülsenfrüchte am besten mit Vollkorngetreide oder Eiern kombiniert werden. Und: In Zeiten steigender Preise sind Linsen eine preiswerte Alternative zu vielen anderen Lebensmitte</w:t>
      </w:r>
      <w:r>
        <w:t xml:space="preserve">ln.  </w:t>
      </w:r>
      <w:r>
        <w:rPr>
          <w:b/>
        </w:rPr>
        <w:t>Petra J. Huschke</w:t>
      </w:r>
    </w:p>
    <w:p w:rsidR="009738F3" w:rsidRDefault="0025623A">
      <w:pPr>
        <w:pStyle w:val="berschrift1"/>
      </w:pPr>
      <w:bookmarkStart w:id="48" w:name="_Toc230066585"/>
      <w:r>
        <w:t>Donner der Gefühle</w:t>
      </w:r>
      <w:bookmarkEnd w:id="48"/>
    </w:p>
    <w:p w:rsidR="009738F3" w:rsidRDefault="0025623A">
      <w:pPr>
        <w:pStyle w:val="Standard-Fett"/>
      </w:pPr>
      <w:r>
        <w:t xml:space="preserve"> Rock-Ikone Bonnie Tyler wird 75</w:t>
      </w:r>
    </w:p>
    <w:p w:rsidR="009738F3" w:rsidRDefault="0025623A">
      <w:pPr>
        <w:pStyle w:val="Vorspann"/>
      </w:pPr>
      <w:r>
        <w:t>Mit ihren Hymnen verwandeltBonnie Tyler Liebe in einen musikalischen Paukenschlag. Hits wie „Total Eclipse of the Heart“ und „Holding Out for a Hero“ prägen die 1980er-Jahre. Am 8. J</w:t>
      </w:r>
      <w:r>
        <w:t>uni wird die britische Sängerin 75 Jahre alt.</w:t>
      </w:r>
    </w:p>
    <w:p w:rsidR="009738F3" w:rsidRDefault="0025623A">
      <w:r>
        <w:t>Bonnie Tyler, bürgerlich Gaynor Hopkins, wuchs im Industriegürtel von Südwales auf. Schon als Jugendliche trat sie dort in Kneipen und Nachtclubs auf. Nachdem sie ihre eigene Band gegründet hatte, geriet sie ei</w:t>
      </w:r>
      <w:r>
        <w:t>nes Abends bei einem Auftritt in den Blick eines Talentsuchers.</w:t>
      </w:r>
    </w:p>
    <w:p w:rsidR="009738F3" w:rsidRDefault="0025623A">
      <w:r>
        <w:t>Bereits mit ihrer zweiten Single „Lost in France“ schaffte es Tyler 1976 in die Top 10 der britischen Popmusikcharts. In Deutschland erreichte der Song Platz drei der Hitlisten.</w:t>
      </w:r>
    </w:p>
    <w:p w:rsidR="009738F3" w:rsidRDefault="0025623A">
      <w:r>
        <w:lastRenderedPageBreak/>
        <w:t>Eine Stimmlipp</w:t>
      </w:r>
      <w:r>
        <w:t>en-OP hätte damals das Aus ihrer Karriere bedeuten können, doch das Gegenteil trat ein: Die rauchige Stimme wurde zu ihrem Markenzeichen. So schuf sie mit der Ballade „It‘s a Heartache“ 1977 einen Welthit.</w:t>
      </w:r>
    </w:p>
    <w:p w:rsidR="009738F3" w:rsidRDefault="0025623A">
      <w:r>
        <w:t xml:space="preserve">Der große internationale Höhenflug kam für Bonnie </w:t>
      </w:r>
      <w:r>
        <w:t>Tyler in den 1980er-Jahren: Sie wandte sich endgültig von Country-Einflüssen ab und stürmte 1983 mit der Rockballade „Total Eclipse of the Heart“ die Charts. Das Album „Faster Than the Speed of Night“ verschaffte ihr 1984 eine Grammy-Nominierung. Im gleich</w:t>
      </w:r>
      <w:r>
        <w:t>en Jahr landete sie mit „Holding Out for a Hero“ einen weiteren Erfolg.</w:t>
      </w:r>
    </w:p>
    <w:p w:rsidR="009738F3" w:rsidRDefault="0025623A">
      <w:r>
        <w:t>Seit den 1990er-Jahren konzentrierte sich Tyler verstärkt auf den europäischen Markt und arbeitete dabei unter anderem mit Dieter Bohlen zusammen, mit dem sie drei gemeinsame Alben ver</w:t>
      </w:r>
      <w:r>
        <w:t>öffentlichte.</w:t>
      </w:r>
    </w:p>
    <w:p w:rsidR="009738F3" w:rsidRDefault="0025623A">
      <w:r>
        <w:t xml:space="preserve">Beim Eurovision Song Contest 2013 trat die Rock-Ikone mit dem Song „Believe in Me“ für das Vereinigte Königreich an. Im Vordergrund stand nicht ein Karriereschub, sondern ihre Starpower, mit der die Delegation auf eine starke Präsenz setzte. </w:t>
      </w:r>
      <w:r>
        <w:t>Der Beitrag landete auf Platz 19 und blieb damit hinter den Erwartungen zurück.</w:t>
      </w:r>
    </w:p>
    <w:p w:rsidR="009738F3" w:rsidRDefault="0025623A">
      <w:r>
        <w:t xml:space="preserve">Ihre Refrains sind längst Teil der Popgeschichte – und haben bis heute nichts an Wirkung verloren. Zum 75. Geburtstag tourt Bonnie Tyler durch Deutschland. </w:t>
      </w:r>
      <w:r>
        <w:rPr>
          <w:b/>
        </w:rPr>
        <w:t>ant</w:t>
      </w:r>
    </w:p>
    <w:sectPr w:rsidR="009738F3">
      <w:head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694" w:rsidRDefault="00F94694" w:rsidP="00F94694">
      <w:pPr>
        <w:spacing w:after="0" w:line="240" w:lineRule="auto"/>
      </w:pPr>
      <w:r>
        <w:separator/>
      </w:r>
    </w:p>
  </w:endnote>
  <w:endnote w:type="continuationSeparator" w:id="0">
    <w:p w:rsidR="00F94694" w:rsidRDefault="00F94694" w:rsidP="00F9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2040503050306020203"/>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694" w:rsidRDefault="00F94694" w:rsidP="00F94694">
      <w:pPr>
        <w:spacing w:after="0" w:line="240" w:lineRule="auto"/>
      </w:pPr>
      <w:r>
        <w:separator/>
      </w:r>
    </w:p>
  </w:footnote>
  <w:footnote w:type="continuationSeparator" w:id="0">
    <w:p w:rsidR="00F94694" w:rsidRDefault="00F94694" w:rsidP="00F9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E92" w:rsidRDefault="0025623A" w:rsidP="00AA6B2B">
    <w:pPr>
      <w:pStyle w:val="Kopfzeile"/>
      <w:tabs>
        <w:tab w:val="clear" w:pos="4536"/>
        <w:tab w:val="center" w:pos="6804"/>
      </w:tabs>
    </w:pPr>
    <w:sdt>
      <w:sdtPr>
        <w:alias w:val="Titel"/>
        <w:tag w:val=""/>
        <w:id w:val="-429432510"/>
        <w:placeholder>
          <w:docPart w:val="B61484FF5A454B3E9CE5D94D9A8856E5"/>
        </w:placeholder>
        <w:dataBinding w:prefixMappings="xmlns:ns0='http://purl.org/dc/elements/1.1/' xmlns:ns1='http://schemas.openxmlformats.org/package/2006/metadata/core-properties' " w:xpath="/ns1:coreProperties[1]/ns0:title[1]" w:storeItemID="{6C3C8BC8-F283-45AE-878A-BAB7291924A1}"/>
        <w:text/>
      </w:sdtPr>
      <w:sdtEndPr/>
      <w:sdtContent>
        <w:r>
          <w:t>VdK-Zeitung Gesamt Juni-2026</w:t>
        </w:r>
      </w:sdtContent>
    </w:sdt>
    <w:r w:rsidR="00FC7E92">
      <w:tab/>
    </w:r>
    <w:r w:rsidR="00FC7E92">
      <w:tab/>
      <w:t xml:space="preserve">Seite </w:t>
    </w:r>
    <w:sdt>
      <w:sdtPr>
        <w:id w:val="-950161867"/>
        <w:docPartObj>
          <w:docPartGallery w:val="Page Numbers (Top of Page)"/>
          <w:docPartUnique/>
        </w:docPartObj>
      </w:sdtPr>
      <w:sdtEndPr/>
      <w:sdtContent>
        <w:r w:rsidR="00FC7E92">
          <w:fldChar w:fldCharType="begin"/>
        </w:r>
        <w:r w:rsidR="00FC7E92">
          <w:instrText>PAGE   \* MERGEFORMAT</w:instrText>
        </w:r>
        <w:r w:rsidR="00FC7E92">
          <w:fldChar w:fldCharType="separate"/>
        </w:r>
        <w:r w:rsidR="00AA6B2B">
          <w:rPr>
            <w:noProof/>
          </w:rPr>
          <w:t>1</w:t>
        </w:r>
        <w:r w:rsidR="00FC7E92">
          <w:fldChar w:fldCharType="end"/>
        </w:r>
      </w:sdtContent>
    </w:sdt>
  </w:p>
  <w:p w:rsidR="00F94694" w:rsidRDefault="00F946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A62CE06"/>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42D4003C"/>
    <w:multiLevelType w:val="hybridMultilevel"/>
    <w:tmpl w:val="3B1287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9A288A"/>
    <w:multiLevelType w:val="hybridMultilevel"/>
    <w:tmpl w:val="9844FE86"/>
    <w:lvl w:ilvl="0" w:tplc="1E088BA4">
      <w:start w:val="1"/>
      <w:numFmt w:val="upperLetter"/>
      <w:lvlText w:val="%1."/>
      <w:lvlJc w:val="left"/>
      <w:pPr>
        <w:ind w:left="1070" w:hanging="360"/>
      </w:pPr>
      <w:rPr>
        <w:rFonts w:cs="Times New Roman" w:hint="default"/>
      </w:rPr>
    </w:lvl>
    <w:lvl w:ilvl="1" w:tplc="04070019" w:tentative="1">
      <w:start w:val="1"/>
      <w:numFmt w:val="lowerLetter"/>
      <w:lvlText w:val="%2."/>
      <w:lvlJc w:val="left"/>
      <w:pPr>
        <w:ind w:left="1790" w:hanging="360"/>
      </w:pPr>
      <w:rPr>
        <w:rFonts w:cs="Times New Roman"/>
      </w:rPr>
    </w:lvl>
    <w:lvl w:ilvl="2" w:tplc="0407001B" w:tentative="1">
      <w:start w:val="1"/>
      <w:numFmt w:val="lowerRoman"/>
      <w:lvlText w:val="%3."/>
      <w:lvlJc w:val="right"/>
      <w:pPr>
        <w:ind w:left="2510" w:hanging="180"/>
      </w:pPr>
      <w:rPr>
        <w:rFonts w:cs="Times New Roman"/>
      </w:rPr>
    </w:lvl>
    <w:lvl w:ilvl="3" w:tplc="0407000F" w:tentative="1">
      <w:start w:val="1"/>
      <w:numFmt w:val="decimal"/>
      <w:lvlText w:val="%4."/>
      <w:lvlJc w:val="left"/>
      <w:pPr>
        <w:ind w:left="3230" w:hanging="360"/>
      </w:pPr>
      <w:rPr>
        <w:rFonts w:cs="Times New Roman"/>
      </w:rPr>
    </w:lvl>
    <w:lvl w:ilvl="4" w:tplc="04070019" w:tentative="1">
      <w:start w:val="1"/>
      <w:numFmt w:val="lowerLetter"/>
      <w:lvlText w:val="%5."/>
      <w:lvlJc w:val="left"/>
      <w:pPr>
        <w:ind w:left="3950" w:hanging="360"/>
      </w:pPr>
      <w:rPr>
        <w:rFonts w:cs="Times New Roman"/>
      </w:rPr>
    </w:lvl>
    <w:lvl w:ilvl="5" w:tplc="0407001B" w:tentative="1">
      <w:start w:val="1"/>
      <w:numFmt w:val="lowerRoman"/>
      <w:lvlText w:val="%6."/>
      <w:lvlJc w:val="right"/>
      <w:pPr>
        <w:ind w:left="4670" w:hanging="180"/>
      </w:pPr>
      <w:rPr>
        <w:rFonts w:cs="Times New Roman"/>
      </w:rPr>
    </w:lvl>
    <w:lvl w:ilvl="6" w:tplc="0407000F" w:tentative="1">
      <w:start w:val="1"/>
      <w:numFmt w:val="decimal"/>
      <w:lvlText w:val="%7."/>
      <w:lvlJc w:val="left"/>
      <w:pPr>
        <w:ind w:left="5390" w:hanging="360"/>
      </w:pPr>
      <w:rPr>
        <w:rFonts w:cs="Times New Roman"/>
      </w:rPr>
    </w:lvl>
    <w:lvl w:ilvl="7" w:tplc="04070019" w:tentative="1">
      <w:start w:val="1"/>
      <w:numFmt w:val="lowerLetter"/>
      <w:lvlText w:val="%8."/>
      <w:lvlJc w:val="left"/>
      <w:pPr>
        <w:ind w:left="6110" w:hanging="360"/>
      </w:pPr>
      <w:rPr>
        <w:rFonts w:cs="Times New Roman"/>
      </w:rPr>
    </w:lvl>
    <w:lvl w:ilvl="8" w:tplc="0407001B" w:tentative="1">
      <w:start w:val="1"/>
      <w:numFmt w:val="lowerRoman"/>
      <w:lvlText w:val="%9."/>
      <w:lvlJc w:val="right"/>
      <w:pPr>
        <w:ind w:left="6830" w:hanging="180"/>
      </w:pPr>
      <w:rPr>
        <w:rFonts w:cs="Times New Roman"/>
      </w:rPr>
    </w:lvl>
  </w:abstractNum>
  <w:abstractNum w:abstractNumId="3" w15:restartNumberingAfterBreak="0">
    <w:nsid w:val="6D005B1E"/>
    <w:multiLevelType w:val="hybridMultilevel"/>
    <w:tmpl w:val="A1CEE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0"/>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ersion_formatvorlage" w:val="20141022-1500"/>
  </w:docVars>
  <w:rsids>
    <w:rsidRoot w:val="003F29A6"/>
    <w:rsid w:val="00000385"/>
    <w:rsid w:val="000071B3"/>
    <w:rsid w:val="000225DB"/>
    <w:rsid w:val="0003387A"/>
    <w:rsid w:val="000366E8"/>
    <w:rsid w:val="00044C7D"/>
    <w:rsid w:val="00044FE9"/>
    <w:rsid w:val="000451EA"/>
    <w:rsid w:val="000478DA"/>
    <w:rsid w:val="00055BDF"/>
    <w:rsid w:val="00060816"/>
    <w:rsid w:val="00061774"/>
    <w:rsid w:val="0006270A"/>
    <w:rsid w:val="0008176B"/>
    <w:rsid w:val="00084E80"/>
    <w:rsid w:val="00094692"/>
    <w:rsid w:val="000A0E9B"/>
    <w:rsid w:val="000A2780"/>
    <w:rsid w:val="000A2CAB"/>
    <w:rsid w:val="000A37D7"/>
    <w:rsid w:val="000A3FBF"/>
    <w:rsid w:val="000A4C6F"/>
    <w:rsid w:val="000B5C6F"/>
    <w:rsid w:val="000C0F94"/>
    <w:rsid w:val="000C576E"/>
    <w:rsid w:val="000C6A42"/>
    <w:rsid w:val="000D2F73"/>
    <w:rsid w:val="000D4BE6"/>
    <w:rsid w:val="000E4063"/>
    <w:rsid w:val="001009FD"/>
    <w:rsid w:val="001028C0"/>
    <w:rsid w:val="00103D7B"/>
    <w:rsid w:val="0010520D"/>
    <w:rsid w:val="00120A39"/>
    <w:rsid w:val="00126CD8"/>
    <w:rsid w:val="00137833"/>
    <w:rsid w:val="001421E4"/>
    <w:rsid w:val="00142C0D"/>
    <w:rsid w:val="00154124"/>
    <w:rsid w:val="00154A3D"/>
    <w:rsid w:val="00157951"/>
    <w:rsid w:val="001620AF"/>
    <w:rsid w:val="00163E64"/>
    <w:rsid w:val="00174D88"/>
    <w:rsid w:val="00181BE3"/>
    <w:rsid w:val="0019105E"/>
    <w:rsid w:val="001914A9"/>
    <w:rsid w:val="001951B2"/>
    <w:rsid w:val="00196389"/>
    <w:rsid w:val="001A2876"/>
    <w:rsid w:val="001B4C41"/>
    <w:rsid w:val="001B5E36"/>
    <w:rsid w:val="001C2E7A"/>
    <w:rsid w:val="001C4F45"/>
    <w:rsid w:val="001C5CCA"/>
    <w:rsid w:val="001D0679"/>
    <w:rsid w:val="001D2EE7"/>
    <w:rsid w:val="001D35B7"/>
    <w:rsid w:val="001D4A32"/>
    <w:rsid w:val="001E13A9"/>
    <w:rsid w:val="001E3AA9"/>
    <w:rsid w:val="001E4EB5"/>
    <w:rsid w:val="002004D2"/>
    <w:rsid w:val="0021228D"/>
    <w:rsid w:val="00215EEB"/>
    <w:rsid w:val="00216BC7"/>
    <w:rsid w:val="00217C8A"/>
    <w:rsid w:val="0022606E"/>
    <w:rsid w:val="00231517"/>
    <w:rsid w:val="00233774"/>
    <w:rsid w:val="002367B8"/>
    <w:rsid w:val="00237D89"/>
    <w:rsid w:val="00243794"/>
    <w:rsid w:val="00244D3D"/>
    <w:rsid w:val="00245211"/>
    <w:rsid w:val="002456CE"/>
    <w:rsid w:val="002503E6"/>
    <w:rsid w:val="00250EEB"/>
    <w:rsid w:val="00251EDA"/>
    <w:rsid w:val="00252F0C"/>
    <w:rsid w:val="002532FB"/>
    <w:rsid w:val="00256098"/>
    <w:rsid w:val="0025623A"/>
    <w:rsid w:val="002571AC"/>
    <w:rsid w:val="00257B81"/>
    <w:rsid w:val="002617F8"/>
    <w:rsid w:val="00263C93"/>
    <w:rsid w:val="00273E14"/>
    <w:rsid w:val="0028350B"/>
    <w:rsid w:val="002874D5"/>
    <w:rsid w:val="00290E99"/>
    <w:rsid w:val="00290ED8"/>
    <w:rsid w:val="002936E6"/>
    <w:rsid w:val="0029607C"/>
    <w:rsid w:val="002A5B9C"/>
    <w:rsid w:val="002A637B"/>
    <w:rsid w:val="002B0297"/>
    <w:rsid w:val="002B30F9"/>
    <w:rsid w:val="002B564E"/>
    <w:rsid w:val="002C0A4A"/>
    <w:rsid w:val="002C25C1"/>
    <w:rsid w:val="002C5229"/>
    <w:rsid w:val="002C5892"/>
    <w:rsid w:val="002D679C"/>
    <w:rsid w:val="002E10BD"/>
    <w:rsid w:val="002E21A5"/>
    <w:rsid w:val="002F0222"/>
    <w:rsid w:val="002F0723"/>
    <w:rsid w:val="003051FC"/>
    <w:rsid w:val="00312074"/>
    <w:rsid w:val="00316030"/>
    <w:rsid w:val="003215AB"/>
    <w:rsid w:val="0032365D"/>
    <w:rsid w:val="00331A6D"/>
    <w:rsid w:val="00336335"/>
    <w:rsid w:val="00346C5A"/>
    <w:rsid w:val="00347C51"/>
    <w:rsid w:val="00347F56"/>
    <w:rsid w:val="00353E68"/>
    <w:rsid w:val="003620FC"/>
    <w:rsid w:val="003662BF"/>
    <w:rsid w:val="003712C0"/>
    <w:rsid w:val="0038298B"/>
    <w:rsid w:val="00384900"/>
    <w:rsid w:val="003851D0"/>
    <w:rsid w:val="00392322"/>
    <w:rsid w:val="003B42D2"/>
    <w:rsid w:val="003B5314"/>
    <w:rsid w:val="003C0DAD"/>
    <w:rsid w:val="003C2D4B"/>
    <w:rsid w:val="003C3460"/>
    <w:rsid w:val="003C5B8B"/>
    <w:rsid w:val="003C6544"/>
    <w:rsid w:val="003D08F5"/>
    <w:rsid w:val="003D28BA"/>
    <w:rsid w:val="003D6C85"/>
    <w:rsid w:val="003E4C03"/>
    <w:rsid w:val="003E763B"/>
    <w:rsid w:val="003F29A6"/>
    <w:rsid w:val="003F2FA7"/>
    <w:rsid w:val="003F43B1"/>
    <w:rsid w:val="0041362E"/>
    <w:rsid w:val="00415BEF"/>
    <w:rsid w:val="00421E68"/>
    <w:rsid w:val="00423023"/>
    <w:rsid w:val="00426E25"/>
    <w:rsid w:val="00432193"/>
    <w:rsid w:val="00432816"/>
    <w:rsid w:val="00435679"/>
    <w:rsid w:val="0044184B"/>
    <w:rsid w:val="004551B5"/>
    <w:rsid w:val="004559AC"/>
    <w:rsid w:val="004633BC"/>
    <w:rsid w:val="00466FC3"/>
    <w:rsid w:val="004704E1"/>
    <w:rsid w:val="00481B3C"/>
    <w:rsid w:val="00490840"/>
    <w:rsid w:val="004A4FFE"/>
    <w:rsid w:val="004A5874"/>
    <w:rsid w:val="004A6B91"/>
    <w:rsid w:val="004A721E"/>
    <w:rsid w:val="004B1694"/>
    <w:rsid w:val="004D475D"/>
    <w:rsid w:val="004E4362"/>
    <w:rsid w:val="004E5632"/>
    <w:rsid w:val="004E5AA4"/>
    <w:rsid w:val="004E7124"/>
    <w:rsid w:val="004F132F"/>
    <w:rsid w:val="004F3DF3"/>
    <w:rsid w:val="004F52B7"/>
    <w:rsid w:val="004F7A81"/>
    <w:rsid w:val="0051065E"/>
    <w:rsid w:val="00512BE2"/>
    <w:rsid w:val="0052630B"/>
    <w:rsid w:val="00533D43"/>
    <w:rsid w:val="0053669D"/>
    <w:rsid w:val="005366A9"/>
    <w:rsid w:val="00540707"/>
    <w:rsid w:val="005473A2"/>
    <w:rsid w:val="00551C51"/>
    <w:rsid w:val="005538A4"/>
    <w:rsid w:val="00553D34"/>
    <w:rsid w:val="00564C16"/>
    <w:rsid w:val="00570941"/>
    <w:rsid w:val="00593AC8"/>
    <w:rsid w:val="005944C5"/>
    <w:rsid w:val="005952E2"/>
    <w:rsid w:val="005A157C"/>
    <w:rsid w:val="005A30FF"/>
    <w:rsid w:val="005B5CCE"/>
    <w:rsid w:val="005B6BCC"/>
    <w:rsid w:val="005C58C0"/>
    <w:rsid w:val="005D7B71"/>
    <w:rsid w:val="005E6D76"/>
    <w:rsid w:val="005E7DE2"/>
    <w:rsid w:val="00600F9A"/>
    <w:rsid w:val="00604165"/>
    <w:rsid w:val="00605953"/>
    <w:rsid w:val="00606528"/>
    <w:rsid w:val="006068C5"/>
    <w:rsid w:val="00616FC7"/>
    <w:rsid w:val="006253A1"/>
    <w:rsid w:val="00630800"/>
    <w:rsid w:val="00640F08"/>
    <w:rsid w:val="00643EC7"/>
    <w:rsid w:val="00644056"/>
    <w:rsid w:val="006468E3"/>
    <w:rsid w:val="006605F2"/>
    <w:rsid w:val="00671A64"/>
    <w:rsid w:val="006738B3"/>
    <w:rsid w:val="00674A86"/>
    <w:rsid w:val="0067728E"/>
    <w:rsid w:val="00677459"/>
    <w:rsid w:val="00682418"/>
    <w:rsid w:val="00682B20"/>
    <w:rsid w:val="00693E27"/>
    <w:rsid w:val="006962CC"/>
    <w:rsid w:val="00697477"/>
    <w:rsid w:val="006B440E"/>
    <w:rsid w:val="006B5F1E"/>
    <w:rsid w:val="006B6862"/>
    <w:rsid w:val="006C03D6"/>
    <w:rsid w:val="006C2D5C"/>
    <w:rsid w:val="006C67F5"/>
    <w:rsid w:val="006C7A53"/>
    <w:rsid w:val="006C7ABD"/>
    <w:rsid w:val="006D04F1"/>
    <w:rsid w:val="006D408B"/>
    <w:rsid w:val="006E24BA"/>
    <w:rsid w:val="006E4B44"/>
    <w:rsid w:val="006E6FC7"/>
    <w:rsid w:val="006F23BF"/>
    <w:rsid w:val="007022D4"/>
    <w:rsid w:val="007070F2"/>
    <w:rsid w:val="007168A7"/>
    <w:rsid w:val="00717EAC"/>
    <w:rsid w:val="00720475"/>
    <w:rsid w:val="007300BB"/>
    <w:rsid w:val="0073049D"/>
    <w:rsid w:val="00746141"/>
    <w:rsid w:val="00746716"/>
    <w:rsid w:val="00746E43"/>
    <w:rsid w:val="007536E6"/>
    <w:rsid w:val="00754E55"/>
    <w:rsid w:val="00754EE3"/>
    <w:rsid w:val="0075782E"/>
    <w:rsid w:val="007600A8"/>
    <w:rsid w:val="00762E60"/>
    <w:rsid w:val="00764062"/>
    <w:rsid w:val="0077374A"/>
    <w:rsid w:val="0077799B"/>
    <w:rsid w:val="00782AD1"/>
    <w:rsid w:val="00783BCE"/>
    <w:rsid w:val="007854B3"/>
    <w:rsid w:val="00791A22"/>
    <w:rsid w:val="007934D3"/>
    <w:rsid w:val="007C50A6"/>
    <w:rsid w:val="007E7974"/>
    <w:rsid w:val="007F3BE3"/>
    <w:rsid w:val="007F4B82"/>
    <w:rsid w:val="008000D6"/>
    <w:rsid w:val="008029F2"/>
    <w:rsid w:val="00802EBC"/>
    <w:rsid w:val="008140F9"/>
    <w:rsid w:val="00827D95"/>
    <w:rsid w:val="00840138"/>
    <w:rsid w:val="00846837"/>
    <w:rsid w:val="00851130"/>
    <w:rsid w:val="00851691"/>
    <w:rsid w:val="00852AC6"/>
    <w:rsid w:val="00853990"/>
    <w:rsid w:val="00871A7D"/>
    <w:rsid w:val="00875D9C"/>
    <w:rsid w:val="0087721A"/>
    <w:rsid w:val="008A1A5F"/>
    <w:rsid w:val="008A427D"/>
    <w:rsid w:val="008A5FA9"/>
    <w:rsid w:val="008B08F7"/>
    <w:rsid w:val="008B09B4"/>
    <w:rsid w:val="008B7B36"/>
    <w:rsid w:val="008C1F4F"/>
    <w:rsid w:val="008C2A9B"/>
    <w:rsid w:val="008C2B47"/>
    <w:rsid w:val="008C7DF1"/>
    <w:rsid w:val="008D40D9"/>
    <w:rsid w:val="008D639F"/>
    <w:rsid w:val="008F2740"/>
    <w:rsid w:val="008F6870"/>
    <w:rsid w:val="00911D15"/>
    <w:rsid w:val="00913A63"/>
    <w:rsid w:val="00923DD2"/>
    <w:rsid w:val="009302ED"/>
    <w:rsid w:val="0093230A"/>
    <w:rsid w:val="00944417"/>
    <w:rsid w:val="009447AC"/>
    <w:rsid w:val="009467A7"/>
    <w:rsid w:val="0095168B"/>
    <w:rsid w:val="00955C52"/>
    <w:rsid w:val="00963BE7"/>
    <w:rsid w:val="009663DD"/>
    <w:rsid w:val="00966DC8"/>
    <w:rsid w:val="00967372"/>
    <w:rsid w:val="009738F3"/>
    <w:rsid w:val="00977175"/>
    <w:rsid w:val="00981093"/>
    <w:rsid w:val="00983713"/>
    <w:rsid w:val="00986ED3"/>
    <w:rsid w:val="00990FFE"/>
    <w:rsid w:val="009A0CA3"/>
    <w:rsid w:val="009A19AB"/>
    <w:rsid w:val="009A2854"/>
    <w:rsid w:val="009A4B15"/>
    <w:rsid w:val="009B0484"/>
    <w:rsid w:val="009B1F69"/>
    <w:rsid w:val="009B2A9E"/>
    <w:rsid w:val="009B614D"/>
    <w:rsid w:val="009C1BEA"/>
    <w:rsid w:val="009C23CF"/>
    <w:rsid w:val="009C557F"/>
    <w:rsid w:val="009D3633"/>
    <w:rsid w:val="009D53CC"/>
    <w:rsid w:val="009D5739"/>
    <w:rsid w:val="009E0350"/>
    <w:rsid w:val="009E0868"/>
    <w:rsid w:val="009E1B16"/>
    <w:rsid w:val="009F09A1"/>
    <w:rsid w:val="009F0FA7"/>
    <w:rsid w:val="009F1EB0"/>
    <w:rsid w:val="009F4C1D"/>
    <w:rsid w:val="00A0683D"/>
    <w:rsid w:val="00A26AB5"/>
    <w:rsid w:val="00A536AA"/>
    <w:rsid w:val="00A66BD0"/>
    <w:rsid w:val="00A677DE"/>
    <w:rsid w:val="00A7102A"/>
    <w:rsid w:val="00A7161F"/>
    <w:rsid w:val="00A72579"/>
    <w:rsid w:val="00A93FC2"/>
    <w:rsid w:val="00A94289"/>
    <w:rsid w:val="00AA3793"/>
    <w:rsid w:val="00AA6B2B"/>
    <w:rsid w:val="00AB31E4"/>
    <w:rsid w:val="00AB42F7"/>
    <w:rsid w:val="00AC75F9"/>
    <w:rsid w:val="00AD1159"/>
    <w:rsid w:val="00AF2D50"/>
    <w:rsid w:val="00AF45FB"/>
    <w:rsid w:val="00B01712"/>
    <w:rsid w:val="00B11568"/>
    <w:rsid w:val="00B11FFF"/>
    <w:rsid w:val="00B169EA"/>
    <w:rsid w:val="00B20F19"/>
    <w:rsid w:val="00B21AFE"/>
    <w:rsid w:val="00B23510"/>
    <w:rsid w:val="00B24829"/>
    <w:rsid w:val="00B25C31"/>
    <w:rsid w:val="00B2617D"/>
    <w:rsid w:val="00B305AC"/>
    <w:rsid w:val="00B35454"/>
    <w:rsid w:val="00B43918"/>
    <w:rsid w:val="00B43E3B"/>
    <w:rsid w:val="00B44650"/>
    <w:rsid w:val="00B55A04"/>
    <w:rsid w:val="00B6791D"/>
    <w:rsid w:val="00B704CC"/>
    <w:rsid w:val="00B91A86"/>
    <w:rsid w:val="00B936EE"/>
    <w:rsid w:val="00B9731F"/>
    <w:rsid w:val="00B97335"/>
    <w:rsid w:val="00BA09C0"/>
    <w:rsid w:val="00BB07F7"/>
    <w:rsid w:val="00BC18FC"/>
    <w:rsid w:val="00BC3C53"/>
    <w:rsid w:val="00BC4BAC"/>
    <w:rsid w:val="00BD50F3"/>
    <w:rsid w:val="00BE52C4"/>
    <w:rsid w:val="00C01A76"/>
    <w:rsid w:val="00C062D2"/>
    <w:rsid w:val="00C10C23"/>
    <w:rsid w:val="00C15905"/>
    <w:rsid w:val="00C24C78"/>
    <w:rsid w:val="00C310ED"/>
    <w:rsid w:val="00C31F2A"/>
    <w:rsid w:val="00C4660A"/>
    <w:rsid w:val="00C54EBF"/>
    <w:rsid w:val="00C57E77"/>
    <w:rsid w:val="00C644E8"/>
    <w:rsid w:val="00C7089C"/>
    <w:rsid w:val="00C71E38"/>
    <w:rsid w:val="00C72BD5"/>
    <w:rsid w:val="00C75196"/>
    <w:rsid w:val="00C76081"/>
    <w:rsid w:val="00C7693F"/>
    <w:rsid w:val="00C77968"/>
    <w:rsid w:val="00C81216"/>
    <w:rsid w:val="00C82E7F"/>
    <w:rsid w:val="00C84FF4"/>
    <w:rsid w:val="00C94D2B"/>
    <w:rsid w:val="00CA195B"/>
    <w:rsid w:val="00CA499C"/>
    <w:rsid w:val="00CB0B10"/>
    <w:rsid w:val="00CC1B7E"/>
    <w:rsid w:val="00CC752A"/>
    <w:rsid w:val="00CD2E96"/>
    <w:rsid w:val="00CD3A30"/>
    <w:rsid w:val="00CF0EF6"/>
    <w:rsid w:val="00CF2F8B"/>
    <w:rsid w:val="00CF4F3E"/>
    <w:rsid w:val="00CF67C9"/>
    <w:rsid w:val="00D03F33"/>
    <w:rsid w:val="00D0417E"/>
    <w:rsid w:val="00D0611D"/>
    <w:rsid w:val="00D1127D"/>
    <w:rsid w:val="00D13FA2"/>
    <w:rsid w:val="00D154DB"/>
    <w:rsid w:val="00D1686D"/>
    <w:rsid w:val="00D243C4"/>
    <w:rsid w:val="00D27EB6"/>
    <w:rsid w:val="00D30B96"/>
    <w:rsid w:val="00D33F18"/>
    <w:rsid w:val="00D36914"/>
    <w:rsid w:val="00D3742D"/>
    <w:rsid w:val="00D42AE0"/>
    <w:rsid w:val="00D43B54"/>
    <w:rsid w:val="00D62B62"/>
    <w:rsid w:val="00D67E79"/>
    <w:rsid w:val="00D85799"/>
    <w:rsid w:val="00D9340A"/>
    <w:rsid w:val="00D962E5"/>
    <w:rsid w:val="00D975B9"/>
    <w:rsid w:val="00D97761"/>
    <w:rsid w:val="00DB72AE"/>
    <w:rsid w:val="00DC0D73"/>
    <w:rsid w:val="00DC3847"/>
    <w:rsid w:val="00DC390C"/>
    <w:rsid w:val="00DC4DB4"/>
    <w:rsid w:val="00DC51A2"/>
    <w:rsid w:val="00DC76BF"/>
    <w:rsid w:val="00DD0C93"/>
    <w:rsid w:val="00DE2BF4"/>
    <w:rsid w:val="00DF063A"/>
    <w:rsid w:val="00DF38F1"/>
    <w:rsid w:val="00DF7E04"/>
    <w:rsid w:val="00E0629B"/>
    <w:rsid w:val="00E06323"/>
    <w:rsid w:val="00E23712"/>
    <w:rsid w:val="00E24922"/>
    <w:rsid w:val="00E33BB2"/>
    <w:rsid w:val="00E34FD4"/>
    <w:rsid w:val="00E46839"/>
    <w:rsid w:val="00E46AE5"/>
    <w:rsid w:val="00E62679"/>
    <w:rsid w:val="00E63369"/>
    <w:rsid w:val="00E654FA"/>
    <w:rsid w:val="00E718A1"/>
    <w:rsid w:val="00E76EEF"/>
    <w:rsid w:val="00E844B9"/>
    <w:rsid w:val="00E84AEF"/>
    <w:rsid w:val="00E86908"/>
    <w:rsid w:val="00E876B1"/>
    <w:rsid w:val="00E90830"/>
    <w:rsid w:val="00EB057A"/>
    <w:rsid w:val="00EC0FA4"/>
    <w:rsid w:val="00EC1832"/>
    <w:rsid w:val="00EC79C9"/>
    <w:rsid w:val="00EE1DBB"/>
    <w:rsid w:val="00EE2CFB"/>
    <w:rsid w:val="00EE4427"/>
    <w:rsid w:val="00EF6397"/>
    <w:rsid w:val="00F10FE7"/>
    <w:rsid w:val="00F27588"/>
    <w:rsid w:val="00F31290"/>
    <w:rsid w:val="00F31DBB"/>
    <w:rsid w:val="00F405BB"/>
    <w:rsid w:val="00F46D56"/>
    <w:rsid w:val="00F55B2B"/>
    <w:rsid w:val="00F55DBE"/>
    <w:rsid w:val="00F5794D"/>
    <w:rsid w:val="00F63B99"/>
    <w:rsid w:val="00F66B14"/>
    <w:rsid w:val="00F678D7"/>
    <w:rsid w:val="00F72A4D"/>
    <w:rsid w:val="00F737F0"/>
    <w:rsid w:val="00F75094"/>
    <w:rsid w:val="00F83A80"/>
    <w:rsid w:val="00F83C5A"/>
    <w:rsid w:val="00F84F7C"/>
    <w:rsid w:val="00F85472"/>
    <w:rsid w:val="00F9004C"/>
    <w:rsid w:val="00F915EC"/>
    <w:rsid w:val="00F94111"/>
    <w:rsid w:val="00F94694"/>
    <w:rsid w:val="00F97C51"/>
    <w:rsid w:val="00F97F0A"/>
    <w:rsid w:val="00FA4955"/>
    <w:rsid w:val="00FA67F6"/>
    <w:rsid w:val="00FB11BD"/>
    <w:rsid w:val="00FB6E9A"/>
    <w:rsid w:val="00FC2CD8"/>
    <w:rsid w:val="00FC7E92"/>
    <w:rsid w:val="00FD0847"/>
    <w:rsid w:val="00FD1DE9"/>
    <w:rsid w:val="00FD5C51"/>
    <w:rsid w:val="00FE0B40"/>
    <w:rsid w:val="00FE18CE"/>
    <w:rsid w:val="00FF2070"/>
    <w:rsid w:val="00FF26F9"/>
    <w:rsid w:val="00FF479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0D3CFB-76DD-437A-B922-0E451A963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754EE3"/>
    <w:rPr>
      <w:rFonts w:asciiTheme="majorHAnsi" w:hAnsiTheme="majorHAnsi" w:cs="Times New Roman"/>
    </w:rPr>
  </w:style>
  <w:style w:type="paragraph" w:styleId="berschrift1">
    <w:name w:val="heading 1"/>
    <w:basedOn w:val="A4L"/>
    <w:next w:val="Standard"/>
    <w:link w:val="berschrift1Zchn"/>
    <w:uiPriority w:val="9"/>
    <w:qFormat/>
    <w:rsid w:val="00F46D56"/>
    <w:pPr>
      <w:keepNext/>
      <w:keepLines/>
      <w:spacing w:before="480" w:after="0"/>
      <w:jc w:val="left"/>
      <w:outlineLvl w:val="0"/>
    </w:pPr>
    <w:rPr>
      <w:rFonts w:asciiTheme="minorHAnsi" w:eastAsiaTheme="majorEastAsia" w:hAnsiTheme="minorHAnsi" w:cs="Times New Roman"/>
      <w:bCs w:val="0"/>
      <w:color w:val="000000" w:themeColor="text1"/>
      <w:sz w:val="56"/>
      <w:szCs w:val="28"/>
    </w:rPr>
  </w:style>
  <w:style w:type="paragraph" w:styleId="berschrift2">
    <w:name w:val="heading 2"/>
    <w:basedOn w:val="Standard"/>
    <w:next w:val="Standard"/>
    <w:link w:val="berschrift2Zchn"/>
    <w:uiPriority w:val="9"/>
    <w:unhideWhenUsed/>
    <w:qFormat/>
    <w:rsid w:val="00F46D56"/>
    <w:pPr>
      <w:keepNext/>
      <w:keepLines/>
      <w:spacing w:after="240"/>
      <w:outlineLvl w:val="1"/>
    </w:pPr>
    <w:rPr>
      <w:rFonts w:asciiTheme="minorHAnsi" w:eastAsiaTheme="majorEastAsia" w:hAnsiTheme="minorHAnsi"/>
      <w:bCs/>
      <w:sz w:val="32"/>
      <w:szCs w:val="48"/>
    </w:rPr>
  </w:style>
  <w:style w:type="paragraph" w:styleId="berschrift3">
    <w:name w:val="heading 3"/>
    <w:basedOn w:val="Standard"/>
    <w:next w:val="Standard"/>
    <w:link w:val="berschrift3Zchn"/>
    <w:uiPriority w:val="9"/>
    <w:unhideWhenUsed/>
    <w:qFormat/>
    <w:rsid w:val="00E63369"/>
    <w:pPr>
      <w:keepNext/>
      <w:keepLines/>
      <w:spacing w:before="40" w:after="0"/>
      <w:outlineLvl w:val="2"/>
    </w:pPr>
    <w:rPr>
      <w:rFonts w:eastAsiaTheme="majorEastAsia" w:cstheme="majorBidi"/>
      <w:color w:val="243F60" w:themeColor="accent1" w:themeShade="7F"/>
      <w:sz w:val="24"/>
      <w:szCs w:val="24"/>
    </w:rPr>
  </w:style>
  <w:style w:type="paragraph" w:styleId="berschrift4">
    <w:name w:val="heading 4"/>
    <w:basedOn w:val="Standard"/>
    <w:next w:val="Standard"/>
    <w:link w:val="berschrift4Zchn"/>
    <w:uiPriority w:val="9"/>
    <w:semiHidden/>
    <w:unhideWhenUsed/>
    <w:qFormat/>
    <w:rsid w:val="00F46D56"/>
    <w:pPr>
      <w:keepNext/>
      <w:keepLines/>
      <w:spacing w:before="40" w:after="0"/>
      <w:outlineLvl w:val="3"/>
    </w:pPr>
    <w:rPr>
      <w:rFonts w:eastAsiaTheme="majorEastAsia"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sid w:val="00F46D56"/>
    <w:rPr>
      <w:rFonts w:eastAsiaTheme="majorEastAsia" w:cs="Times New Roman"/>
      <w:b/>
      <w:color w:val="000000" w:themeColor="text1"/>
      <w:position w:val="4"/>
      <w:sz w:val="56"/>
      <w:szCs w:val="28"/>
    </w:rPr>
  </w:style>
  <w:style w:type="character" w:customStyle="1" w:styleId="berschrift2Zchn">
    <w:name w:val="Überschrift 2 Zchn"/>
    <w:basedOn w:val="Absatz-Standardschriftart"/>
    <w:link w:val="berschrift2"/>
    <w:uiPriority w:val="9"/>
    <w:locked/>
    <w:rsid w:val="00F46D56"/>
    <w:rPr>
      <w:rFonts w:eastAsiaTheme="majorEastAsia" w:cs="Times New Roman"/>
      <w:bCs/>
      <w:sz w:val="32"/>
      <w:szCs w:val="48"/>
    </w:rPr>
  </w:style>
  <w:style w:type="paragraph" w:customStyle="1" w:styleId="A5LT">
    <w:name w:val="A5LT"/>
    <w:basedOn w:val="Standard"/>
    <w:next w:val="H5"/>
    <w:uiPriority w:val="99"/>
    <w:rsid w:val="003F29A6"/>
    <w:pPr>
      <w:pBdr>
        <w:top w:val="single" w:sz="4" w:space="31" w:color="000000"/>
      </w:pBd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H5">
    <w:name w:val="H5"/>
    <w:basedOn w:val="Standard"/>
    <w:next w:val="V"/>
    <w:uiPriority w:val="99"/>
    <w:rsid w:val="003F29A6"/>
    <w:pPr>
      <w:autoSpaceDE w:val="0"/>
      <w:autoSpaceDN w:val="0"/>
      <w:adjustRightInd w:val="0"/>
      <w:spacing w:after="283" w:line="340" w:lineRule="atLeast"/>
      <w:jc w:val="center"/>
      <w:textAlignment w:val="center"/>
    </w:pPr>
    <w:rPr>
      <w:rFonts w:ascii="VdK Geometr706 Md BT Medium" w:hAnsi="VdK Geometr706 Md BT Medium" w:cs="VdK Geometr706 Md BT Medium"/>
      <w:color w:val="000000"/>
      <w:sz w:val="26"/>
      <w:szCs w:val="26"/>
    </w:rPr>
  </w:style>
  <w:style w:type="paragraph" w:customStyle="1" w:styleId="V">
    <w:name w:val="V"/>
    <w:basedOn w:val="Standard"/>
    <w:next w:val="G"/>
    <w:uiPriority w:val="99"/>
    <w:rsid w:val="003F29A6"/>
    <w:pPr>
      <w:autoSpaceDE w:val="0"/>
      <w:autoSpaceDN w:val="0"/>
      <w:adjustRightInd w:val="0"/>
      <w:spacing w:after="241" w:line="240" w:lineRule="atLeast"/>
      <w:jc w:val="both"/>
      <w:textAlignment w:val="center"/>
    </w:pPr>
    <w:rPr>
      <w:rFonts w:ascii="VdKGilroySemiBold" w:hAnsi="VdKGilroySemiBold" w:cs="VdKGilroySemiBold"/>
      <w:b/>
      <w:bCs/>
      <w:color w:val="000000"/>
      <w:sz w:val="19"/>
      <w:szCs w:val="19"/>
    </w:rPr>
  </w:style>
  <w:style w:type="paragraph" w:customStyle="1" w:styleId="G">
    <w:name w:val="G"/>
    <w:basedOn w:val="Standard"/>
    <w:uiPriority w:val="99"/>
    <w:rsid w:val="003F29A6"/>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customStyle="1" w:styleId="A3L">
    <w:name w:val="A3L"/>
    <w:basedOn w:val="Standard"/>
    <w:next w:val="H3"/>
    <w:uiPriority w:val="99"/>
    <w:rsid w:val="003F29A6"/>
    <w:pPr>
      <w:pBdr>
        <w:top w:val="single" w:sz="4" w:space="31" w:color="000000"/>
      </w:pBd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paragraph" w:customStyle="1" w:styleId="H3">
    <w:name w:val="H3"/>
    <w:basedOn w:val="Standard"/>
    <w:next w:val="V"/>
    <w:uiPriority w:val="99"/>
    <w:rsid w:val="003F29A6"/>
    <w:pPr>
      <w:autoSpaceDE w:val="0"/>
      <w:autoSpaceDN w:val="0"/>
      <w:adjustRightInd w:val="0"/>
      <w:spacing w:after="235"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GA">
    <w:name w:val="GA"/>
    <w:basedOn w:val="G"/>
    <w:uiPriority w:val="99"/>
    <w:rsid w:val="003F29A6"/>
    <w:pPr>
      <w:ind w:left="136" w:hanging="136"/>
    </w:pPr>
  </w:style>
  <w:style w:type="paragraph" w:customStyle="1" w:styleId="A4">
    <w:name w:val="A4"/>
    <w:basedOn w:val="Standard"/>
    <w:next w:val="H4"/>
    <w:uiPriority w:val="99"/>
    <w:rsid w:val="003F29A6"/>
    <w:pPr>
      <w:autoSpaceDE w:val="0"/>
      <w:autoSpaceDN w:val="0"/>
      <w:adjustRightInd w:val="0"/>
      <w:spacing w:after="57" w:line="540" w:lineRule="atLeast"/>
      <w:jc w:val="center"/>
      <w:textAlignment w:val="center"/>
    </w:pPr>
    <w:rPr>
      <w:rFonts w:ascii="VdK Trade Gothic LT Std Bold" w:hAnsi="VdK Trade Gothic LT Std Bold" w:cs="VdK Trade Gothic LT Std Bold"/>
      <w:b/>
      <w:bCs/>
      <w:color w:val="000000"/>
      <w:position w:val="4"/>
      <w:sz w:val="58"/>
      <w:szCs w:val="58"/>
    </w:rPr>
  </w:style>
  <w:style w:type="paragraph" w:customStyle="1" w:styleId="H4">
    <w:name w:val="H4"/>
    <w:basedOn w:val="Standard"/>
    <w:next w:val="V"/>
    <w:uiPriority w:val="99"/>
    <w:rsid w:val="003F29A6"/>
    <w:pPr>
      <w:autoSpaceDE w:val="0"/>
      <w:autoSpaceDN w:val="0"/>
      <w:adjustRightInd w:val="0"/>
      <w:spacing w:after="227"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A2L">
    <w:name w:val="A2L"/>
    <w:basedOn w:val="Standard"/>
    <w:next w:val="H2"/>
    <w:uiPriority w:val="99"/>
    <w:rsid w:val="003F29A6"/>
    <w:pPr>
      <w:pBdr>
        <w:top w:val="single" w:sz="4" w:space="28" w:color="000000"/>
      </w:pBd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H2">
    <w:name w:val="H2"/>
    <w:basedOn w:val="Standard"/>
    <w:next w:val="V"/>
    <w:uiPriority w:val="99"/>
    <w:rsid w:val="003F29A6"/>
    <w:pPr>
      <w:autoSpaceDE w:val="0"/>
      <w:autoSpaceDN w:val="0"/>
      <w:adjustRightInd w:val="0"/>
      <w:spacing w:after="238" w:line="240" w:lineRule="atLeast"/>
      <w:jc w:val="center"/>
      <w:textAlignment w:val="center"/>
    </w:pPr>
    <w:rPr>
      <w:rFonts w:ascii="VdK Geometr706 Md BT Medium" w:hAnsi="VdK Geometr706 Md BT Medium" w:cs="VdK Geometr706 Md BT Medium"/>
      <w:color w:val="000000"/>
      <w:sz w:val="26"/>
      <w:szCs w:val="26"/>
    </w:rPr>
  </w:style>
  <w:style w:type="paragraph" w:customStyle="1" w:styleId="Z1">
    <w:name w:val="Z1"/>
    <w:basedOn w:val="Standard"/>
    <w:uiPriority w:val="99"/>
    <w:rsid w:val="003F29A6"/>
    <w:pPr>
      <w:autoSpaceDE w:val="0"/>
      <w:autoSpaceDN w:val="0"/>
      <w:adjustRightInd w:val="0"/>
      <w:spacing w:before="240" w:line="280" w:lineRule="atLeast"/>
      <w:jc w:val="center"/>
      <w:textAlignment w:val="center"/>
    </w:pPr>
    <w:rPr>
      <w:rFonts w:ascii="VdK Geometr415 Blk BT Black" w:hAnsi="VdK Geometr415 Blk BT Black" w:cs="VdK Geometr415 Blk BT Black"/>
      <w:color w:val="000000"/>
      <w:sz w:val="26"/>
      <w:szCs w:val="26"/>
    </w:rPr>
  </w:style>
  <w:style w:type="paragraph" w:customStyle="1" w:styleId="A1K">
    <w:name w:val="A1K"/>
    <w:basedOn w:val="Standard"/>
    <w:next w:val="V"/>
    <w:uiPriority w:val="99"/>
    <w:rsid w:val="003F29A6"/>
    <w:pPr>
      <w:autoSpaceDE w:val="0"/>
      <w:autoSpaceDN w:val="0"/>
      <w:adjustRightInd w:val="0"/>
      <w:spacing w:after="57" w:line="540" w:lineRule="atLeast"/>
      <w:ind w:left="113" w:right="113"/>
      <w:jc w:val="center"/>
      <w:textAlignment w:val="center"/>
    </w:pPr>
    <w:rPr>
      <w:rFonts w:ascii="VdK Trade Gothic LT Std Bold" w:hAnsi="VdK Trade Gothic LT Std Bold" w:cs="VdK Trade Gothic LT Std Bold"/>
      <w:b/>
      <w:bCs/>
      <w:color w:val="000000"/>
      <w:sz w:val="50"/>
      <w:szCs w:val="50"/>
    </w:rPr>
  </w:style>
  <w:style w:type="paragraph" w:customStyle="1" w:styleId="K">
    <w:name w:val="K"/>
    <w:basedOn w:val="G"/>
    <w:uiPriority w:val="99"/>
    <w:rsid w:val="003F29A6"/>
    <w:pPr>
      <w:spacing w:line="230" w:lineRule="atLeast"/>
      <w:ind w:firstLine="0"/>
    </w:pPr>
    <w:rPr>
      <w:rFonts w:ascii="VdK Geometr706 Md BT Medium" w:hAnsi="VdK Geometr706 Md BT Medium" w:cs="VdK Geometr706 Md BT Medium"/>
      <w:sz w:val="18"/>
      <w:szCs w:val="18"/>
    </w:rPr>
  </w:style>
  <w:style w:type="paragraph" w:customStyle="1" w:styleId="A5">
    <w:name w:val="A5"/>
    <w:basedOn w:val="Standard"/>
    <w:next w:val="H5"/>
    <w:uiPriority w:val="99"/>
    <w:rsid w:val="003F29A6"/>
    <w:pP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A4L">
    <w:name w:val="A4L"/>
    <w:basedOn w:val="A4"/>
    <w:next w:val="H4"/>
    <w:uiPriority w:val="99"/>
    <w:rsid w:val="003F29A6"/>
    <w:pPr>
      <w:pBdr>
        <w:top w:val="single" w:sz="4" w:space="31" w:color="000000"/>
      </w:pBdr>
    </w:pPr>
  </w:style>
  <w:style w:type="paragraph" w:customStyle="1" w:styleId="A2">
    <w:name w:val="A2"/>
    <w:basedOn w:val="Standard"/>
    <w:next w:val="H2"/>
    <w:uiPriority w:val="99"/>
    <w:rsid w:val="003F29A6"/>
    <w:pP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A3">
    <w:name w:val="A3"/>
    <w:basedOn w:val="Standard"/>
    <w:next w:val="H3"/>
    <w:uiPriority w:val="99"/>
    <w:rsid w:val="003F29A6"/>
    <w:pP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character" w:customStyle="1" w:styleId="VdK-ZeitungimText">
    <w:name w:val="VdK-Zeitung im Text"/>
    <w:uiPriority w:val="99"/>
    <w:rsid w:val="003F29A6"/>
    <w:rPr>
      <w:caps/>
      <w:sz w:val="19"/>
    </w:rPr>
  </w:style>
  <w:style w:type="character" w:customStyle="1" w:styleId="ConcordeBold">
    <w:name w:val="Concorde Bold"/>
    <w:uiPriority w:val="99"/>
    <w:rsid w:val="003F29A6"/>
    <w:rPr>
      <w:b/>
    </w:rPr>
  </w:style>
  <w:style w:type="paragraph" w:customStyle="1" w:styleId="KR">
    <w:name w:val="KR"/>
    <w:basedOn w:val="Standard"/>
    <w:uiPriority w:val="99"/>
    <w:rsid w:val="003F29A6"/>
    <w:pPr>
      <w:pBdr>
        <w:bottom w:val="single" w:sz="4" w:space="22" w:color="000000"/>
      </w:pBdr>
      <w:autoSpaceDE w:val="0"/>
      <w:autoSpaceDN w:val="0"/>
      <w:adjustRightInd w:val="0"/>
      <w:spacing w:after="680" w:line="300" w:lineRule="atLeast"/>
      <w:ind w:left="113" w:right="113"/>
      <w:jc w:val="center"/>
      <w:textAlignment w:val="center"/>
    </w:pPr>
    <w:rPr>
      <w:rFonts w:ascii="VdK Geometr706 Md BT Black" w:hAnsi="VdK Geometr706 Md BT Black" w:cs="VdK Geometr706 Md BT Black"/>
      <w:caps/>
      <w:color w:val="005CA9"/>
      <w:position w:val="-23"/>
      <w:sz w:val="26"/>
      <w:szCs w:val="26"/>
    </w:rPr>
  </w:style>
  <w:style w:type="paragraph" w:customStyle="1" w:styleId="KEA">
    <w:name w:val="KEA"/>
    <w:basedOn w:val="Standard"/>
    <w:uiPriority w:val="99"/>
    <w:rsid w:val="003F29A6"/>
    <w:pPr>
      <w:tabs>
        <w:tab w:val="left" w:pos="0"/>
        <w:tab w:val="left" w:pos="113"/>
      </w:tabs>
      <w:autoSpaceDE w:val="0"/>
      <w:autoSpaceDN w:val="0"/>
      <w:adjustRightInd w:val="0"/>
      <w:spacing w:after="0" w:line="230" w:lineRule="atLeast"/>
      <w:ind w:left="249" w:right="113" w:hanging="136"/>
      <w:jc w:val="both"/>
      <w:textAlignment w:val="center"/>
    </w:pPr>
    <w:rPr>
      <w:rFonts w:ascii="VdK Geometr706 Md BT Medium" w:hAnsi="VdK Geometr706 Md BT Medium" w:cs="VdK Geometr706 Md BT Medium"/>
      <w:color w:val="000000"/>
      <w:sz w:val="18"/>
      <w:szCs w:val="18"/>
    </w:rPr>
  </w:style>
  <w:style w:type="character" w:styleId="Hyperlink">
    <w:name w:val="Hyperlink"/>
    <w:basedOn w:val="Absatz-Standardschriftart"/>
    <w:uiPriority w:val="99"/>
    <w:unhideWhenUsed/>
    <w:rsid w:val="003F29A6"/>
    <w:rPr>
      <w:rFonts w:cs="Times New Roman"/>
      <w:color w:val="0000FF" w:themeColor="hyperlink"/>
      <w:u w:val="single"/>
    </w:rPr>
  </w:style>
  <w:style w:type="paragraph" w:styleId="Titel">
    <w:name w:val="Title"/>
    <w:basedOn w:val="Standard"/>
    <w:link w:val="TitelZchn"/>
    <w:uiPriority w:val="99"/>
    <w:qFormat/>
    <w:rsid w:val="001B4C41"/>
    <w:pPr>
      <w:pBdr>
        <w:bottom w:val="single" w:sz="8" w:space="4" w:color="4F81BD"/>
      </w:pBdr>
      <w:autoSpaceDE w:val="0"/>
      <w:autoSpaceDN w:val="0"/>
      <w:adjustRightInd w:val="0"/>
      <w:spacing w:after="300"/>
      <w:contextualSpacing/>
    </w:pPr>
    <w:rPr>
      <w:rFonts w:ascii="Arial" w:hAnsi="Liberation Serif" w:cs="Arial"/>
      <w:color w:val="17365D"/>
      <w:spacing w:val="5"/>
      <w:kern w:val="2"/>
      <w:sz w:val="48"/>
      <w:szCs w:val="48"/>
    </w:rPr>
  </w:style>
  <w:style w:type="character" w:customStyle="1" w:styleId="TitelZchn">
    <w:name w:val="Titel Zchn"/>
    <w:basedOn w:val="Absatz-Standardschriftart"/>
    <w:link w:val="Titel"/>
    <w:uiPriority w:val="99"/>
    <w:locked/>
    <w:rsid w:val="001B4C41"/>
    <w:rPr>
      <w:rFonts w:ascii="Arial" w:eastAsia="Times New Roman" w:hAnsi="Liberation Serif" w:cs="Arial"/>
      <w:color w:val="17365D"/>
      <w:spacing w:val="5"/>
      <w:kern w:val="2"/>
      <w:sz w:val="48"/>
      <w:szCs w:val="48"/>
    </w:rPr>
  </w:style>
  <w:style w:type="paragraph" w:customStyle="1" w:styleId="InhaltvdK">
    <w:name w:val="Inhalt_vdK"/>
    <w:basedOn w:val="Inhaltsverzeichnis1"/>
    <w:link w:val="InhaltvdKZchn"/>
    <w:qFormat/>
    <w:rsid w:val="008F6870"/>
    <w:pPr>
      <w:tabs>
        <w:tab w:val="right" w:pos="9062"/>
      </w:tabs>
    </w:pPr>
  </w:style>
  <w:style w:type="paragraph" w:customStyle="1" w:styleId="dcberschrift1">
    <w:name w:val="Üdcberschrift 1"/>
    <w:basedOn w:val="Standard"/>
    <w:uiPriority w:val="99"/>
    <w:rsid w:val="001B4C41"/>
    <w:pPr>
      <w:keepNext/>
      <w:keepLines/>
      <w:autoSpaceDE w:val="0"/>
      <w:autoSpaceDN w:val="0"/>
      <w:adjustRightInd w:val="0"/>
      <w:spacing w:before="480"/>
    </w:pPr>
    <w:rPr>
      <w:rFonts w:ascii="Arial" w:hAnsi="Liberation Serif" w:cs="Arial"/>
      <w:b/>
      <w:bCs/>
      <w:color w:val="000000"/>
      <w:sz w:val="32"/>
      <w:szCs w:val="32"/>
    </w:rPr>
  </w:style>
  <w:style w:type="paragraph" w:customStyle="1" w:styleId="Inhaltsverzeichnis1">
    <w:name w:val="Inhaltsverzeichnis 1"/>
    <w:basedOn w:val="Standard"/>
    <w:link w:val="Inhaltsverzeichnis1Zchn"/>
    <w:autoRedefine/>
    <w:uiPriority w:val="99"/>
    <w:rsid w:val="001B4C41"/>
    <w:pPr>
      <w:autoSpaceDE w:val="0"/>
      <w:autoSpaceDN w:val="0"/>
      <w:adjustRightInd w:val="0"/>
      <w:spacing w:after="100"/>
    </w:pPr>
    <w:rPr>
      <w:rFonts w:ascii="Arial" w:hAnsi="Liberation Serif" w:cs="Arial"/>
    </w:rPr>
  </w:style>
  <w:style w:type="character" w:customStyle="1" w:styleId="Inhaltsverzeichnis1Zchn">
    <w:name w:val="Inhaltsverzeichnis 1 Zchn"/>
    <w:basedOn w:val="Absatz-Standardschriftart"/>
    <w:link w:val="Inhaltsverzeichnis1"/>
    <w:uiPriority w:val="99"/>
    <w:locked/>
    <w:rsid w:val="008F6870"/>
    <w:rPr>
      <w:rFonts w:ascii="Arial" w:eastAsia="Times New Roman" w:hAnsi="Liberation Serif" w:cs="Arial"/>
    </w:rPr>
  </w:style>
  <w:style w:type="character" w:customStyle="1" w:styleId="InhaltvdKZchn">
    <w:name w:val="Inhalt_vdK Zchn"/>
    <w:basedOn w:val="Inhaltsverzeichnis1Zchn"/>
    <w:link w:val="InhaltvdK"/>
    <w:locked/>
    <w:rsid w:val="008F6870"/>
    <w:rPr>
      <w:rFonts w:ascii="Arial" w:eastAsia="Times New Roman" w:hAnsi="Liberation Serif" w:cs="Arial"/>
    </w:rPr>
  </w:style>
  <w:style w:type="paragraph" w:customStyle="1" w:styleId="InterviewFrage">
    <w:name w:val="Interview Frage"/>
    <w:basedOn w:val="Standard"/>
    <w:next w:val="InterviewAntwort"/>
    <w:uiPriority w:val="99"/>
    <w:rsid w:val="003712C0"/>
    <w:pPr>
      <w:autoSpaceDE w:val="0"/>
      <w:autoSpaceDN w:val="0"/>
      <w:adjustRightInd w:val="0"/>
      <w:spacing w:after="0" w:line="240" w:lineRule="atLeast"/>
      <w:jc w:val="both"/>
      <w:textAlignment w:val="center"/>
    </w:pPr>
    <w:rPr>
      <w:rFonts w:ascii="GilroyBold" w:hAnsi="GilroyBold" w:cs="GilroyBold"/>
      <w:b/>
      <w:bCs/>
      <w:color w:val="000000"/>
      <w:sz w:val="19"/>
      <w:szCs w:val="19"/>
    </w:rPr>
  </w:style>
  <w:style w:type="paragraph" w:customStyle="1" w:styleId="InterviewAntwort">
    <w:name w:val="Interview Antwort"/>
    <w:basedOn w:val="Standard"/>
    <w:next w:val="InterviewFrage"/>
    <w:uiPriority w:val="99"/>
    <w:rsid w:val="003712C0"/>
    <w:pPr>
      <w:autoSpaceDE w:val="0"/>
      <w:autoSpaceDN w:val="0"/>
      <w:adjustRightInd w:val="0"/>
      <w:spacing w:after="0" w:line="240" w:lineRule="atLeast"/>
      <w:jc w:val="both"/>
      <w:textAlignment w:val="center"/>
    </w:pPr>
    <w:rPr>
      <w:rFonts w:ascii="VdK Concorde" w:hAnsi="VdK Concorde" w:cs="VdK Concorde"/>
      <w:color w:val="000000"/>
      <w:sz w:val="19"/>
      <w:szCs w:val="19"/>
    </w:rPr>
  </w:style>
  <w:style w:type="paragraph" w:customStyle="1" w:styleId="KE">
    <w:name w:val="KE"/>
    <w:basedOn w:val="K"/>
    <w:uiPriority w:val="99"/>
    <w:rsid w:val="00762E60"/>
    <w:pPr>
      <w:ind w:left="113" w:right="113"/>
    </w:pPr>
  </w:style>
  <w:style w:type="character" w:customStyle="1" w:styleId="ConcordeItalic">
    <w:name w:val="Concorde Italic"/>
    <w:uiPriority w:val="99"/>
    <w:rsid w:val="0087721A"/>
    <w:rPr>
      <w:i/>
    </w:rPr>
  </w:style>
  <w:style w:type="character" w:customStyle="1" w:styleId="InternetadresseinKsten">
    <w:name w:val="Internetadresse in Kästen"/>
    <w:aliases w:val="Kursif"/>
    <w:uiPriority w:val="99"/>
    <w:rsid w:val="00967372"/>
    <w:rPr>
      <w:i/>
      <w:sz w:val="18"/>
    </w:rPr>
  </w:style>
  <w:style w:type="paragraph" w:styleId="Inhaltsverzeichnisberschrift">
    <w:name w:val="TOC Heading"/>
    <w:basedOn w:val="berschrift1"/>
    <w:next w:val="Standard"/>
    <w:uiPriority w:val="39"/>
    <w:unhideWhenUsed/>
    <w:qFormat/>
    <w:rsid w:val="0008176B"/>
    <w:pPr>
      <w:pBdr>
        <w:top w:val="none" w:sz="0" w:space="0" w:color="auto"/>
      </w:pBdr>
      <w:autoSpaceDE/>
      <w:autoSpaceDN/>
      <w:adjustRightInd/>
      <w:spacing w:line="276" w:lineRule="auto"/>
      <w:textAlignment w:val="auto"/>
      <w:outlineLvl w:val="9"/>
    </w:pPr>
    <w:rPr>
      <w:b w:val="0"/>
      <w:bCs/>
      <w:position w:val="0"/>
      <w:lang w:eastAsia="de-DE"/>
    </w:rPr>
  </w:style>
  <w:style w:type="paragraph" w:styleId="Verzeichnis1">
    <w:name w:val="toc 1"/>
    <w:basedOn w:val="Standard"/>
    <w:next w:val="Standard"/>
    <w:autoRedefine/>
    <w:uiPriority w:val="39"/>
    <w:unhideWhenUsed/>
    <w:rsid w:val="0008176B"/>
    <w:pPr>
      <w:spacing w:after="100"/>
    </w:pPr>
  </w:style>
  <w:style w:type="paragraph" w:styleId="Sprechblasentext">
    <w:name w:val="Balloon Text"/>
    <w:basedOn w:val="Standard"/>
    <w:link w:val="SprechblasentextZchn"/>
    <w:uiPriority w:val="99"/>
    <w:semiHidden/>
    <w:unhideWhenUsed/>
    <w:rsid w:val="0008176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08176B"/>
    <w:rPr>
      <w:rFonts w:ascii="Tahoma" w:hAnsi="Tahoma" w:cs="Tahoma"/>
      <w:sz w:val="16"/>
      <w:szCs w:val="16"/>
    </w:rPr>
  </w:style>
  <w:style w:type="paragraph" w:customStyle="1" w:styleId="A5L">
    <w:name w:val="A5L"/>
    <w:basedOn w:val="A5"/>
    <w:next w:val="H5"/>
    <w:uiPriority w:val="99"/>
    <w:rsid w:val="004704E1"/>
    <w:pPr>
      <w:pBdr>
        <w:top w:val="single" w:sz="4" w:space="31" w:color="000000"/>
      </w:pBdr>
    </w:pPr>
  </w:style>
  <w:style w:type="paragraph" w:customStyle="1" w:styleId="RB">
    <w:name w:val="RB"/>
    <w:basedOn w:val="Standard"/>
    <w:uiPriority w:val="99"/>
    <w:rsid w:val="00746716"/>
    <w:pPr>
      <w:pBdr>
        <w:top w:val="single" w:sz="4" w:space="9" w:color="000000"/>
        <w:bottom w:val="single" w:sz="4" w:space="22" w:color="000000"/>
      </w:pBdr>
      <w:autoSpaceDE w:val="0"/>
      <w:autoSpaceDN w:val="0"/>
      <w:adjustRightInd w:val="0"/>
      <w:spacing w:after="680" w:line="300" w:lineRule="atLeast"/>
      <w:ind w:left="227" w:right="227"/>
      <w:jc w:val="center"/>
      <w:textAlignment w:val="center"/>
    </w:pPr>
    <w:rPr>
      <w:rFonts w:ascii="VdK Geometr706 Md BT Black" w:hAnsi="VdK Geometr706 Md BT Black" w:cs="VdK Geometr706 Md BT Black"/>
      <w:caps/>
      <w:color w:val="005CA9"/>
      <w:position w:val="-23"/>
      <w:sz w:val="26"/>
      <w:szCs w:val="26"/>
    </w:rPr>
  </w:style>
  <w:style w:type="character" w:customStyle="1" w:styleId="FotonachweisimRaster">
    <w:name w:val="Fotonachweis im Raster"/>
    <w:uiPriority w:val="99"/>
    <w:rsid w:val="00FD0847"/>
    <w:rPr>
      <w:rFonts w:ascii="VdK Geometr706 Md BT Medium" w:hAnsi="VdK Geometr706 Md BT Medium"/>
      <w:color w:val="000000"/>
      <w:spacing w:val="0"/>
      <w:w w:val="100"/>
      <w:position w:val="0"/>
      <w:sz w:val="13"/>
      <w:u w:val="none"/>
      <w:vertAlign w:val="baseline"/>
    </w:rPr>
  </w:style>
  <w:style w:type="paragraph" w:customStyle="1" w:styleId="A1">
    <w:name w:val="A1"/>
    <w:basedOn w:val="Standard"/>
    <w:next w:val="V"/>
    <w:uiPriority w:val="99"/>
    <w:rsid w:val="0032365D"/>
    <w:pPr>
      <w:autoSpaceDE w:val="0"/>
      <w:autoSpaceDN w:val="0"/>
      <w:adjustRightInd w:val="0"/>
      <w:spacing w:after="232" w:line="380" w:lineRule="atLeast"/>
      <w:jc w:val="center"/>
      <w:textAlignment w:val="center"/>
    </w:pPr>
    <w:rPr>
      <w:rFonts w:ascii="VdK Trade Gothic LT Std Bold" w:hAnsi="VdK Trade Gothic LT Std Bold" w:cs="VdK Trade Gothic LT Std Bold"/>
      <w:b/>
      <w:bCs/>
      <w:color w:val="000000"/>
      <w:position w:val="2"/>
      <w:sz w:val="32"/>
      <w:szCs w:val="32"/>
    </w:rPr>
  </w:style>
  <w:style w:type="character" w:customStyle="1" w:styleId="KBold">
    <w:name w:val="K Bold"/>
    <w:uiPriority w:val="99"/>
    <w:rsid w:val="00963BE7"/>
    <w:rPr>
      <w:rFonts w:ascii="VdK Geometr706 Md BT Black" w:hAnsi="VdK Geometr706 Md BT Black"/>
      <w:spacing w:val="0"/>
      <w:sz w:val="18"/>
      <w:vertAlign w:val="baseline"/>
    </w:rPr>
  </w:style>
  <w:style w:type="paragraph" w:styleId="KeinLeerraum">
    <w:name w:val="No Spacing"/>
    <w:uiPriority w:val="1"/>
    <w:qFormat/>
    <w:rsid w:val="00F5794D"/>
    <w:pPr>
      <w:spacing w:after="0" w:line="240" w:lineRule="auto"/>
    </w:pPr>
    <w:rPr>
      <w:rFonts w:cs="Times New Roman"/>
    </w:rPr>
  </w:style>
  <w:style w:type="paragraph" w:customStyle="1" w:styleId="A1L">
    <w:name w:val="A1L"/>
    <w:basedOn w:val="A1"/>
    <w:next w:val="V"/>
    <w:uiPriority w:val="99"/>
    <w:rsid w:val="006605F2"/>
    <w:pPr>
      <w:pBdr>
        <w:top w:val="single" w:sz="4" w:space="24" w:color="000000"/>
      </w:pBdr>
    </w:pPr>
  </w:style>
  <w:style w:type="paragraph" w:customStyle="1" w:styleId="KeinAbsatzformat">
    <w:name w:val="[Kein Absatzformat]"/>
    <w:rsid w:val="00FE18CE"/>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RBR">
    <w:name w:val="RBR"/>
    <w:basedOn w:val="KeinAbsatzformat"/>
    <w:uiPriority w:val="99"/>
    <w:rsid w:val="00353E68"/>
    <w:pPr>
      <w:pBdr>
        <w:bottom w:val="single" w:sz="96" w:space="0" w:color="005CA9"/>
      </w:pBdr>
      <w:spacing w:after="680" w:line="300" w:lineRule="atLeast"/>
      <w:ind w:left="227" w:right="227"/>
      <w:jc w:val="center"/>
    </w:pPr>
    <w:rPr>
      <w:rFonts w:ascii="VdK Geometr706 Md BT Black" w:hAnsi="VdK Geometr706 Md BT Black" w:cs="VdK Geometr706 Md BT Black"/>
      <w:caps/>
      <w:color w:val="005CA9"/>
      <w:position w:val="-24"/>
      <w:sz w:val="26"/>
      <w:szCs w:val="26"/>
    </w:rPr>
  </w:style>
  <w:style w:type="paragraph" w:customStyle="1" w:styleId="H5T">
    <w:name w:val="H5T"/>
    <w:basedOn w:val="H5"/>
    <w:uiPriority w:val="99"/>
    <w:rsid w:val="002456CE"/>
    <w:pPr>
      <w:spacing w:line="300" w:lineRule="atLeast"/>
    </w:pPr>
  </w:style>
  <w:style w:type="paragraph" w:styleId="Listenabsatz">
    <w:name w:val="List Paragraph"/>
    <w:basedOn w:val="Standard"/>
    <w:uiPriority w:val="34"/>
    <w:qFormat/>
    <w:rsid w:val="004559AC"/>
    <w:pPr>
      <w:ind w:left="720"/>
      <w:contextualSpacing/>
    </w:pPr>
  </w:style>
  <w:style w:type="paragraph" w:customStyle="1" w:styleId="Z">
    <w:name w:val="Z"/>
    <w:basedOn w:val="Standard"/>
    <w:uiPriority w:val="99"/>
    <w:rsid w:val="00263C93"/>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styleId="Aufzhlungszeichen">
    <w:name w:val="List Bullet"/>
    <w:basedOn w:val="Standard"/>
    <w:uiPriority w:val="99"/>
    <w:rsid w:val="006C67F5"/>
    <w:pPr>
      <w:numPr>
        <w:numId w:val="3"/>
      </w:numPr>
      <w:tabs>
        <w:tab w:val="clear" w:pos="360"/>
      </w:tabs>
      <w:contextualSpacing/>
    </w:pPr>
  </w:style>
  <w:style w:type="paragraph" w:customStyle="1" w:styleId="ZVerbandsstufen">
    <w:name w:val="Z Verbandsstufen"/>
    <w:basedOn w:val="Z1"/>
    <w:uiPriority w:val="99"/>
    <w:rsid w:val="007300BB"/>
    <w:pPr>
      <w:spacing w:before="142" w:after="28"/>
    </w:pPr>
    <w:rPr>
      <w:rFonts w:ascii="VdK-Geometr415BlkBTBlack" w:hAnsi="VdK-Geometr415BlkBTBlack" w:cs="VdK-Geometr415BlkBTBlack"/>
      <w:color w:val="3B68AE"/>
    </w:rPr>
  </w:style>
  <w:style w:type="paragraph" w:customStyle="1" w:styleId="VdKBasisBasisformate">
    <w:name w:val="VdK_Basis (Basisformate)"/>
    <w:basedOn w:val="KeinAbsatzformat"/>
    <w:uiPriority w:val="99"/>
    <w:rsid w:val="002F0222"/>
    <w:pPr>
      <w:spacing w:line="240" w:lineRule="atLeast"/>
      <w:jc w:val="both"/>
    </w:pPr>
    <w:rPr>
      <w:rFonts w:ascii="VdK Concorde" w:hAnsi="VdK Concorde" w:cs="VdK Concorde"/>
      <w:sz w:val="19"/>
      <w:szCs w:val="19"/>
    </w:rPr>
  </w:style>
  <w:style w:type="paragraph" w:styleId="Verzeichnis2">
    <w:name w:val="toc 2"/>
    <w:basedOn w:val="Standard"/>
    <w:next w:val="Standard"/>
    <w:autoRedefine/>
    <w:uiPriority w:val="39"/>
    <w:unhideWhenUsed/>
    <w:rsid w:val="009B1F69"/>
    <w:pPr>
      <w:spacing w:after="100"/>
      <w:ind w:left="220"/>
    </w:pPr>
  </w:style>
  <w:style w:type="character" w:styleId="Fett">
    <w:name w:val="Strong"/>
    <w:basedOn w:val="Absatz-Standardschriftart"/>
    <w:uiPriority w:val="22"/>
    <w:qFormat/>
    <w:rsid w:val="00D43B54"/>
    <w:rPr>
      <w:b/>
      <w:bCs/>
    </w:rPr>
  </w:style>
  <w:style w:type="paragraph" w:customStyle="1" w:styleId="Vorspann">
    <w:name w:val="Vorspann"/>
    <w:basedOn w:val="Standard"/>
    <w:link w:val="VorspannZchn"/>
    <w:qFormat/>
    <w:rsid w:val="00754EE3"/>
    <w:rPr>
      <w:rFonts w:asciiTheme="minorHAnsi" w:hAnsiTheme="minorHAnsi"/>
      <w:b/>
    </w:rPr>
  </w:style>
  <w:style w:type="character" w:styleId="Buchtitel">
    <w:name w:val="Book Title"/>
    <w:basedOn w:val="Absatz-Standardschriftart"/>
    <w:uiPriority w:val="33"/>
    <w:qFormat/>
    <w:rsid w:val="00E63369"/>
    <w:rPr>
      <w:b/>
      <w:bCs/>
      <w:i/>
      <w:iCs/>
      <w:spacing w:val="5"/>
    </w:rPr>
  </w:style>
  <w:style w:type="character" w:customStyle="1" w:styleId="VorspannZchn">
    <w:name w:val="Vorspann Zchn"/>
    <w:basedOn w:val="Absatz-Standardschriftart"/>
    <w:link w:val="Vorspann"/>
    <w:rsid w:val="00754EE3"/>
    <w:rPr>
      <w:rFonts w:cs="Times New Roman"/>
      <w:b/>
    </w:rPr>
  </w:style>
  <w:style w:type="character" w:styleId="SchwacherVerweis">
    <w:name w:val="Subtle Reference"/>
    <w:basedOn w:val="Absatz-Standardschriftart"/>
    <w:uiPriority w:val="31"/>
    <w:qFormat/>
    <w:rsid w:val="00E63369"/>
    <w:rPr>
      <w:smallCaps/>
      <w:color w:val="5A5A5A" w:themeColor="text1" w:themeTint="A5"/>
    </w:rPr>
  </w:style>
  <w:style w:type="character" w:styleId="IntensiveHervorhebung">
    <w:name w:val="Intense Emphasis"/>
    <w:basedOn w:val="Absatz-Standardschriftart"/>
    <w:uiPriority w:val="21"/>
    <w:qFormat/>
    <w:rsid w:val="00E63369"/>
    <w:rPr>
      <w:i/>
      <w:iCs/>
      <w:color w:val="4F81BD" w:themeColor="accent1"/>
    </w:rPr>
  </w:style>
  <w:style w:type="character" w:customStyle="1" w:styleId="berschrift3Zchn">
    <w:name w:val="Überschrift 3 Zchn"/>
    <w:basedOn w:val="Absatz-Standardschriftart"/>
    <w:link w:val="berschrift3"/>
    <w:uiPriority w:val="9"/>
    <w:rsid w:val="00E63369"/>
    <w:rPr>
      <w:rFonts w:asciiTheme="majorHAnsi" w:eastAsiaTheme="majorEastAsia" w:hAnsiTheme="majorHAnsi" w:cstheme="majorBidi"/>
      <w:color w:val="243F60" w:themeColor="accent1" w:themeShade="7F"/>
      <w:sz w:val="24"/>
      <w:szCs w:val="24"/>
    </w:rPr>
  </w:style>
  <w:style w:type="character" w:styleId="Hervorhebung">
    <w:name w:val="Emphasis"/>
    <w:basedOn w:val="Absatz-Standardschriftart"/>
    <w:uiPriority w:val="20"/>
    <w:qFormat/>
    <w:rsid w:val="00E63369"/>
    <w:rPr>
      <w:i/>
      <w:iCs/>
    </w:rPr>
  </w:style>
  <w:style w:type="paragraph" w:styleId="Untertitel">
    <w:name w:val="Subtitle"/>
    <w:basedOn w:val="Standard"/>
    <w:next w:val="Standard"/>
    <w:link w:val="UntertitelZchn"/>
    <w:uiPriority w:val="11"/>
    <w:qFormat/>
    <w:rsid w:val="00AF45FB"/>
    <w:pPr>
      <w:numPr>
        <w:ilvl w:val="1"/>
      </w:numPr>
      <w:spacing w:after="160"/>
    </w:pPr>
    <w:rPr>
      <w:rFonts w:eastAsiaTheme="minorEastAsia" w:cstheme="minorBidi"/>
      <w:color w:val="5A5A5A" w:themeColor="text1" w:themeTint="A5"/>
      <w:spacing w:val="15"/>
    </w:rPr>
  </w:style>
  <w:style w:type="character" w:customStyle="1" w:styleId="UntertitelZchn">
    <w:name w:val="Untertitel Zchn"/>
    <w:basedOn w:val="Absatz-Standardschriftart"/>
    <w:link w:val="Untertitel"/>
    <w:uiPriority w:val="11"/>
    <w:rsid w:val="00AF45FB"/>
    <w:rPr>
      <w:rFonts w:eastAsiaTheme="minorEastAsia" w:cstheme="minorBidi"/>
      <w:color w:val="5A5A5A" w:themeColor="text1" w:themeTint="A5"/>
      <w:spacing w:val="15"/>
    </w:rPr>
  </w:style>
  <w:style w:type="paragraph" w:customStyle="1" w:styleId="Rubrik">
    <w:name w:val="Rubrik"/>
    <w:basedOn w:val="Untertitel"/>
    <w:link w:val="RubrikZchn"/>
    <w:qFormat/>
    <w:rsid w:val="001028C0"/>
    <w:pPr>
      <w:keepNext/>
      <w:pBdr>
        <w:top w:val="dotted" w:sz="4" w:space="1" w:color="auto"/>
        <w:bottom w:val="dotted" w:sz="4" w:space="1" w:color="auto"/>
      </w:pBdr>
      <w:shd w:val="clear" w:color="auto" w:fill="F2F2F2" w:themeFill="background1" w:themeFillShade="F2"/>
      <w:spacing w:before="960" w:after="100" w:afterAutospacing="1"/>
      <w:jc w:val="center"/>
    </w:pPr>
    <w:rPr>
      <w:rFonts w:asciiTheme="minorHAnsi" w:hAnsiTheme="minorHAnsi" w:cstheme="minorHAnsi"/>
      <w:b/>
      <w:caps/>
      <w:sz w:val="28"/>
    </w:rPr>
  </w:style>
  <w:style w:type="paragraph" w:customStyle="1" w:styleId="Zwischentitel">
    <w:name w:val="Zwischentitel"/>
    <w:basedOn w:val="Standard"/>
    <w:next w:val="Standard"/>
    <w:link w:val="ZwischentitelZchn"/>
    <w:qFormat/>
    <w:rsid w:val="00F46D56"/>
    <w:rPr>
      <w:rFonts w:asciiTheme="minorHAnsi" w:hAnsiTheme="minorHAnsi"/>
      <w:b/>
      <w:sz w:val="28"/>
    </w:rPr>
  </w:style>
  <w:style w:type="character" w:customStyle="1" w:styleId="RubrikZchn">
    <w:name w:val="Rubrik Zchn"/>
    <w:basedOn w:val="UntertitelZchn"/>
    <w:link w:val="Rubrik"/>
    <w:rsid w:val="001028C0"/>
    <w:rPr>
      <w:rFonts w:eastAsiaTheme="minorEastAsia" w:cstheme="minorBidi"/>
      <w:b/>
      <w:caps/>
      <w:color w:val="5A5A5A" w:themeColor="text1" w:themeTint="A5"/>
      <w:spacing w:val="15"/>
      <w:sz w:val="28"/>
      <w:shd w:val="clear" w:color="auto" w:fill="F2F2F2" w:themeFill="background1" w:themeFillShade="F2"/>
    </w:rPr>
  </w:style>
  <w:style w:type="paragraph" w:customStyle="1" w:styleId="Link">
    <w:name w:val="Link"/>
    <w:basedOn w:val="Standard"/>
    <w:link w:val="LinkZchn"/>
    <w:rsid w:val="00F84F7C"/>
    <w:rPr>
      <w:i/>
      <w:color w:val="4F81BD" w:themeColor="accent1"/>
    </w:rPr>
  </w:style>
  <w:style w:type="character" w:customStyle="1" w:styleId="ZwischentitelZchn">
    <w:name w:val="Zwischentitel Zchn"/>
    <w:basedOn w:val="VorspannZchn"/>
    <w:link w:val="Zwischentitel"/>
    <w:rsid w:val="00F46D56"/>
    <w:rPr>
      <w:rFonts w:cs="Times New Roman"/>
      <w:b/>
      <w:sz w:val="28"/>
    </w:rPr>
  </w:style>
  <w:style w:type="character" w:customStyle="1" w:styleId="LinkZchn">
    <w:name w:val="Link Zchn"/>
    <w:basedOn w:val="Absatz-Standardschriftart"/>
    <w:link w:val="Link"/>
    <w:rsid w:val="00F84F7C"/>
    <w:rPr>
      <w:rFonts w:cs="Times New Roman"/>
      <w:i/>
      <w:color w:val="4F81BD" w:themeColor="accent1"/>
    </w:rPr>
  </w:style>
  <w:style w:type="paragraph" w:customStyle="1" w:styleId="Interview-Frage">
    <w:name w:val="Interview-Frage"/>
    <w:basedOn w:val="Standard"/>
    <w:link w:val="Interview-FrageZchn"/>
    <w:qFormat/>
    <w:rsid w:val="004E5632"/>
    <w:rPr>
      <w:b/>
    </w:rPr>
  </w:style>
  <w:style w:type="character" w:customStyle="1" w:styleId="Interview-FrageZchn">
    <w:name w:val="Interview-Frage Zchn"/>
    <w:basedOn w:val="Absatz-Standardschriftart"/>
    <w:link w:val="Interview-Frage"/>
    <w:rsid w:val="004E5632"/>
    <w:rPr>
      <w:rFonts w:cs="Times New Roman"/>
      <w:b/>
    </w:rPr>
  </w:style>
  <w:style w:type="character" w:customStyle="1" w:styleId="Link-VdK">
    <w:name w:val="Link-VdK"/>
    <w:basedOn w:val="Hyperlink"/>
    <w:uiPriority w:val="1"/>
    <w:qFormat/>
    <w:rsid w:val="00A66BD0"/>
    <w:rPr>
      <w:rFonts w:asciiTheme="majorHAnsi" w:hAnsiTheme="majorHAnsi" w:cs="Times New Roman"/>
      <w:color w:val="1F497D" w:themeColor="text2"/>
      <w:sz w:val="22"/>
      <w:u w:val="single"/>
    </w:rPr>
  </w:style>
  <w:style w:type="paragraph" w:styleId="Kopfzeile">
    <w:name w:val="header"/>
    <w:basedOn w:val="Standard"/>
    <w:link w:val="KopfzeileZchn"/>
    <w:uiPriority w:val="99"/>
    <w:rsid w:val="00F9469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94694"/>
    <w:rPr>
      <w:rFonts w:asciiTheme="majorHAnsi" w:hAnsiTheme="majorHAnsi" w:cs="Times New Roman"/>
    </w:rPr>
  </w:style>
  <w:style w:type="paragraph" w:styleId="Fuzeile">
    <w:name w:val="footer"/>
    <w:basedOn w:val="Standard"/>
    <w:link w:val="FuzeileZchn"/>
    <w:uiPriority w:val="99"/>
    <w:rsid w:val="00F9469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94694"/>
    <w:rPr>
      <w:rFonts w:asciiTheme="majorHAnsi" w:hAnsiTheme="majorHAnsi" w:cs="Times New Roman"/>
    </w:rPr>
  </w:style>
  <w:style w:type="character" w:styleId="Platzhaltertext">
    <w:name w:val="Placeholder Text"/>
    <w:basedOn w:val="Absatz-Standardschriftart"/>
    <w:uiPriority w:val="99"/>
    <w:semiHidden/>
    <w:rsid w:val="00F94694"/>
    <w:rPr>
      <w:color w:val="808080"/>
    </w:rPr>
  </w:style>
  <w:style w:type="character" w:customStyle="1" w:styleId="berschrift4Zchn">
    <w:name w:val="Überschrift 4 Zchn"/>
    <w:basedOn w:val="Absatz-Standardschriftart"/>
    <w:link w:val="berschrift4"/>
    <w:uiPriority w:val="9"/>
    <w:semiHidden/>
    <w:rsid w:val="00F46D56"/>
    <w:rPr>
      <w:rFonts w:asciiTheme="majorHAnsi" w:eastAsiaTheme="majorEastAsia" w:hAnsiTheme="majorHAnsi" w:cstheme="majorBidi"/>
      <w:i/>
      <w:iCs/>
      <w:color w:val="365F91" w:themeColor="accent1" w:themeShade="BF"/>
    </w:rPr>
  </w:style>
  <w:style w:type="paragraph" w:styleId="Zitat">
    <w:name w:val="Quote"/>
    <w:basedOn w:val="Standard"/>
    <w:next w:val="Standard"/>
    <w:link w:val="ZitatZchn"/>
    <w:uiPriority w:val="29"/>
    <w:qFormat/>
    <w:rsid w:val="00F46D56"/>
    <w:pPr>
      <w:spacing w:before="200" w:after="160"/>
      <w:ind w:left="864" w:right="864"/>
    </w:pPr>
    <w:rPr>
      <w:i/>
      <w:iCs/>
      <w:color w:val="404040" w:themeColor="text1" w:themeTint="BF"/>
    </w:rPr>
  </w:style>
  <w:style w:type="character" w:customStyle="1" w:styleId="ZitatZchn">
    <w:name w:val="Zitat Zchn"/>
    <w:basedOn w:val="Absatz-Standardschriftart"/>
    <w:link w:val="Zitat"/>
    <w:uiPriority w:val="29"/>
    <w:rsid w:val="00F46D56"/>
    <w:rPr>
      <w:rFonts w:asciiTheme="majorHAnsi" w:hAnsiTheme="majorHAnsi" w:cs="Times New Roman"/>
      <w:i/>
      <w:iCs/>
      <w:color w:val="404040" w:themeColor="text1" w:themeTint="BF"/>
    </w:rPr>
  </w:style>
  <w:style w:type="paragraph" w:styleId="IntensivesZitat">
    <w:name w:val="Intense Quote"/>
    <w:basedOn w:val="Standard"/>
    <w:next w:val="Standard"/>
    <w:link w:val="IntensivesZitatZchn"/>
    <w:uiPriority w:val="30"/>
    <w:qFormat/>
    <w:rsid w:val="00F46D56"/>
    <w:pPr>
      <w:pBdr>
        <w:top w:val="single" w:sz="4" w:space="10" w:color="4F81BD" w:themeColor="accent1"/>
        <w:bottom w:val="single" w:sz="4" w:space="10" w:color="4F81BD" w:themeColor="accent1"/>
      </w:pBdr>
      <w:spacing w:before="360" w:after="360"/>
      <w:ind w:left="864" w:right="864"/>
    </w:pPr>
    <w:rPr>
      <w:i/>
      <w:iCs/>
      <w:color w:val="4F81BD" w:themeColor="accent1"/>
    </w:rPr>
  </w:style>
  <w:style w:type="character" w:customStyle="1" w:styleId="IntensivesZitatZchn">
    <w:name w:val="Intensives Zitat Zchn"/>
    <w:basedOn w:val="Absatz-Standardschriftart"/>
    <w:link w:val="IntensivesZitat"/>
    <w:uiPriority w:val="30"/>
    <w:rsid w:val="00F46D56"/>
    <w:rPr>
      <w:rFonts w:asciiTheme="majorHAnsi" w:hAnsiTheme="majorHAnsi" w:cs="Times New Roman"/>
      <w:i/>
      <w:iCs/>
      <w:color w:val="4F81BD" w:themeColor="accent1"/>
    </w:rPr>
  </w:style>
  <w:style w:type="character" w:customStyle="1" w:styleId="Kurisv">
    <w:name w:val="Kurisv"/>
    <w:basedOn w:val="Hervorhebung"/>
    <w:uiPriority w:val="1"/>
    <w:qFormat/>
    <w:rsid w:val="00C81216"/>
    <w:rPr>
      <w:i/>
      <w:iCs/>
    </w:rPr>
  </w:style>
  <w:style w:type="paragraph" w:customStyle="1" w:styleId="Standard-Fett">
    <w:name w:val="Standard-Fett"/>
    <w:basedOn w:val="Standard"/>
    <w:link w:val="Standard-FettZchn"/>
    <w:qFormat/>
    <w:rsid w:val="00231517"/>
    <w:pPr>
      <w:spacing w:before="240" w:after="440" w:line="360" w:lineRule="auto"/>
    </w:pPr>
    <w:rPr>
      <w:b/>
      <w:sz w:val="32"/>
    </w:rPr>
  </w:style>
  <w:style w:type="character" w:customStyle="1" w:styleId="Standard-FettZchn">
    <w:name w:val="Standard-Fett Zchn"/>
    <w:basedOn w:val="Absatz-Standardschriftart"/>
    <w:link w:val="Standard-Fett"/>
    <w:rsid w:val="00231517"/>
    <w:rPr>
      <w:rFonts w:asciiTheme="majorHAnsi" w:hAnsiTheme="majorHAnsi" w:cs="Times New Roman"/>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1812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ge.de/gesunde-ernaehrung/gut-essen-und-trinken/dge-empfehlunge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talog.archives.gov/search-within/1204436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unsthallemuc.de/chevalier"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hirnstiftung.org" TargetMode="External"/><Relationship Id="rId4" Type="http://schemas.openxmlformats.org/officeDocument/2006/relationships/settings" Target="settings.xml"/><Relationship Id="rId9" Type="http://schemas.openxmlformats.org/officeDocument/2006/relationships/hyperlink" Target="https://www.116117.de"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1484FF5A454B3E9CE5D94D9A8856E5"/>
        <w:category>
          <w:name w:val="Allgemein"/>
          <w:gallery w:val="placeholder"/>
        </w:category>
        <w:types>
          <w:type w:val="bbPlcHdr"/>
        </w:types>
        <w:behaviors>
          <w:behavior w:val="content"/>
        </w:behaviors>
        <w:guid w:val="{B8A3414C-E12F-4141-86B8-A6FEE1698FF8}"/>
      </w:docPartPr>
      <w:docPartBody>
        <w:p w:rsidR="002638D4" w:rsidRDefault="00F35D01">
          <w:r w:rsidRPr="00AB5801">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2040503050306020203"/>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DA3"/>
    <w:rsid w:val="00211DA3"/>
    <w:rsid w:val="002638D4"/>
    <w:rsid w:val="00AA45BD"/>
    <w:rsid w:val="00F35D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211DA3"/>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35D0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A83CE-58DE-491E-BE03-96E74C28C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17565</Words>
  <Characters>110661</Characters>
  <Application>Microsoft Office Word</Application>
  <DocSecurity>0</DocSecurity>
  <Lines>922</Lines>
  <Paragraphs>255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VdK-Zeitung Gesamt Juni-2026</dc:title>
  <dc:subject/>
  <dc:creator>Sozialverband VdK Deutschland e. V.</dc:creator>
  <cp:keywords/>
  <dc:description/>
  <cp:lastModifiedBy>Roppertz, Sandra</cp:lastModifiedBy>
  <cp:revision>30</cp:revision>
  <dcterms:created xsi:type="dcterms:W3CDTF">2023-11-21T14:29:00Z</dcterms:created>
  <dcterms:modified xsi:type="dcterms:W3CDTF">2026-05-19T05:02:00Z</dcterms:modified>
</cp:coreProperties>
</file>